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QorusTemplateProps.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5D8998E2"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A610F0" w14:paraId="49D7D11A" w14:textId="77777777">
            <w:pPr>
              <w:pStyle w:val="WBDcontactInfo"/>
            </w:pPr>
            <w:r w:rsidRPr="00A610F0">
              <w:rPr>
                <w:noProof/>
              </w:rPr>
              <w:drawing>
                <wp:anchor distT="0" distB="0" distL="114300" distR="114300" simplePos="0" relativeHeight="251673600" behindDoc="1" locked="0" layoutInCell="1" allowOverlap="1" wp14:anchorId="4ECF0ED4" wp14:editId="7878B0F5">
                  <wp:simplePos x="0" y="0"/>
                  <wp:positionH relativeFrom="column">
                    <wp:posOffset>0</wp:posOffset>
                  </wp:positionH>
                  <wp:positionV relativeFrom="paragraph">
                    <wp:posOffset>387</wp:posOffset>
                  </wp:positionV>
                  <wp:extent cx="1371600" cy="1371600"/>
                  <wp:effectExtent l="0" t="0" r="0" b="0"/>
                  <wp:wrapTight wrapText="bothSides">
                    <wp:wrapPolygon edited="0">
                      <wp:start x="12300" y="300"/>
                      <wp:lineTo x="9300" y="1500"/>
                      <wp:lineTo x="7800" y="5100"/>
                      <wp:lineTo x="7500" y="10500"/>
                      <wp:lineTo x="6300" y="10500"/>
                      <wp:lineTo x="3000" y="14100"/>
                      <wp:lineTo x="3000" y="15300"/>
                      <wp:lineTo x="300" y="20100"/>
                      <wp:lineTo x="0" y="21300"/>
                      <wp:lineTo x="20400" y="21300"/>
                      <wp:lineTo x="20700" y="21300"/>
                      <wp:lineTo x="21300" y="16500"/>
                      <wp:lineTo x="21000" y="15300"/>
                      <wp:lineTo x="18600" y="10500"/>
                      <wp:lineTo x="18600" y="5100"/>
                      <wp:lineTo x="16200" y="2100"/>
                      <wp:lineTo x="14700" y="300"/>
                      <wp:lineTo x="12300" y="300"/>
                    </wp:wrapPolygon>
                  </wp:wrapTight>
                  <wp:docPr id="1" name="Picture 1" descr="burger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r_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A610F0" w14:paraId="777DA790" w14:textId="77777777">
            <w:pPr>
              <w:pStyle w:val="WBDName"/>
            </w:pPr>
            <w:r w:rsidRPr="00A610F0">
              <w:t>Christa E. Burger</w:t>
            </w:r>
          </w:p>
          <w:p w:rsidRPr="006F588B" w:rsidR="001555DE" w:rsidP="003E4C50" w:rsidRDefault="00A610F0" w14:paraId="2A922657" w14:textId="77777777">
            <w:pPr>
              <w:pStyle w:val="WBDBioTitle"/>
            </w:pPr>
            <w:r>
              <w:t>Partner</w:t>
            </w:r>
          </w:p>
          <w:p w:rsidRPr="006F588B" w:rsidR="001555DE" w:rsidP="003E4C50" w:rsidRDefault="001555DE" w14:paraId="43D5A827" w14:textId="77777777">
            <w:pPr>
              <w:pStyle w:val="WBDBioTitle"/>
            </w:pPr>
          </w:p>
          <w:p w:rsidR="00A610F0" w:rsidP="003E4C50" w:rsidRDefault="00A610F0" w14:paraId="76A0C41F" w14:textId="77777777">
            <w:pPr>
              <w:pStyle w:val="WBDcontactInfo"/>
            </w:pPr>
            <w:r w:rsidRPr="00A610F0">
              <w:t>Winston-Salem, NC, US</w:t>
            </w:r>
          </w:p>
          <w:p w:rsidRPr="006F588B" w:rsidR="001555DE" w:rsidP="003E4C50" w:rsidRDefault="001555DE" w14:paraId="1090BEF1" w14:textId="77777777">
            <w:pPr>
              <w:pStyle w:val="WBDcontactInfo"/>
            </w:pPr>
            <w:r w:rsidRPr="006F588B">
              <w:t>t:</w:t>
            </w:r>
            <w:r>
              <w:rPr>
                <w:noProof/>
              </w:rPr>
              <w:t xml:space="preserve"> </w:t>
            </w:r>
            <w:r>
              <w:rPr>
                <w:noProof/>
              </w:rPr>
              <w:tab/>
            </w:r>
            <w:r w:rsidRPr="00A610F0" w:rsidR="00A610F0">
              <w:t>336.728.7029</w:t>
            </w:r>
          </w:p>
          <w:p w:rsidRPr="006F588B" w:rsidR="001555DE" w:rsidP="003E4C50" w:rsidRDefault="001555DE" w14:paraId="1BF9E9C3" w14:textId="77777777">
            <w:pPr>
              <w:pStyle w:val="WBDcontactInfo"/>
              <w:rPr>
                <w:b/>
              </w:rPr>
            </w:pPr>
            <w:r w:rsidRPr="006F588B">
              <w:t>e:</w:t>
            </w:r>
            <w:r>
              <w:rPr>
                <w:noProof/>
              </w:rPr>
              <w:t xml:space="preserve"> </w:t>
            </w:r>
            <w:r>
              <w:rPr>
                <w:noProof/>
              </w:rPr>
              <w:tab/>
            </w:r>
            <w:r w:rsidRPr="00A610F0" w:rsidR="00A610F0">
              <w:t>christa.burger@wbd-us.com</w:t>
            </w:r>
          </w:p>
        </w:tc>
      </w:tr>
    </w:tbl>
    <w:p w:rsidRPr="00AE2186" w:rsidR="00545842" w:rsidP="00545842" w:rsidRDefault="00A610F0" w14:paraId="02BAF50A" w14:textId="4CF26CCA">
      <w:pPr>
        <w:pStyle w:val="WBDBioHeadline"/>
      </w:pPr>
      <w:r w:rsidRPr="1844DAE5" w:rsidR="00A610F0">
        <w:rPr>
          <w:noProof/>
        </w:rPr>
        <w:t xml:space="preserve">Christa </w:t>
      </w:r>
      <w:r w:rsidRPr="1844DAE5" w:rsidR="0CD41A60">
        <w:rPr>
          <w:noProof/>
        </w:rPr>
        <w:t xml:space="preserve">Burger </w:t>
      </w:r>
      <w:r w:rsidRPr="1844DAE5" w:rsidR="00A610F0">
        <w:rPr>
          <w:noProof/>
        </w:rPr>
        <w:t>has a broad range of experience defending complex mass tort and business matters including class actions, false advertising and products liability claims. She also advises clients in the manufacturing and retail and consumer sectors on a wide array of marketing and regulatory issues. As their trusted advisor, she keeps abreast to industry trends and challenges and helps them to develop pro-active solutions.</w:t>
      </w:r>
    </w:p>
    <w:p w:rsidRPr="00A610F0" w:rsidR="00A610F0" w:rsidP="00A610F0" w:rsidRDefault="00A610F0" w14:paraId="5957396D" w14:textId="77777777">
      <w:pPr>
        <w:pStyle w:val="WBDBioText"/>
        <w:rPr>
          <w:noProof/>
        </w:rPr>
      </w:pPr>
      <w:r w:rsidRPr="00A610F0">
        <w:rPr>
          <w:noProof/>
        </w:rPr>
        <w:t>Her corporate experience includes advising clients on product labeling, such as compliance with state and federal laws. She also helps develop public relation strategies and responds to inquiries from federal agencies, including the Department of Justice, Federal Trade Commission and Consumer Product Safety Commission. For R. J. Reynolds Tobacco Company, R. J. Reynolds Vapor Company, American Snuff Company and others, she advises on the legal challenges related to tobacco products and electronic cigarettes.</w:t>
      </w:r>
    </w:p>
    <w:p w:rsidRPr="00A610F0" w:rsidR="00A610F0" w:rsidP="00A610F0" w:rsidRDefault="00A610F0" w14:paraId="0242FEAB" w14:textId="77777777">
      <w:pPr>
        <w:pStyle w:val="WBDBioText"/>
        <w:rPr>
          <w:noProof/>
        </w:rPr>
      </w:pPr>
      <w:r w:rsidRPr="00A610F0">
        <w:rPr>
          <w:noProof/>
        </w:rPr>
        <w:t>Christa counsels clients on best practices for avoiding legal disputes. However when called upon, she has a depth of experience in all stages of case preparation and trial, including offensive and defensive discovery; briefing and motions practice; and evaluating, developing, and preparing fact and expert witnesses for deposition, trial, and appeal. She also has experience at mediation and arbitration.</w:t>
      </w:r>
    </w:p>
    <w:p w:rsidR="0082069E" w:rsidP="0082069E" w:rsidRDefault="0082069E" w14:paraId="5F309819" w14:textId="77777777">
      <w:pPr>
        <w:pStyle w:val="WBDBioHeading"/>
      </w:pPr>
      <w:r>
        <w:t xml:space="preserve">Representative </w:t>
      </w:r>
      <w:r w:rsidRPr="008604DE">
        <w:t>Experience</w:t>
      </w:r>
      <w:r w:rsidR="00626DDF">
        <w:t xml:space="preserve"> </w:t>
      </w:r>
    </w:p>
    <w:p w:rsidR="00470ADF" w:rsidP="00470ADF" w:rsidRDefault="00470ADF" w14:paraId="6647D6D7" w14:textId="77777777">
      <w:pPr>
        <w:pStyle w:val="WBDDisclaimerText"/>
      </w:pPr>
      <w:r w:rsidRPr="00470ADF">
        <w:t>Any result the lawyer or law firm may have achieved on behalf of clients in other matters does not necessarily indicate similar results can be obtained for other clients.</w:t>
      </w:r>
    </w:p>
    <w:p w:rsidRPr="00A610F0" w:rsidR="00A610F0" w:rsidP="00470ADF" w:rsidRDefault="00A610F0" w14:paraId="6D09EC31" w14:textId="77777777">
      <w:pPr>
        <w:pStyle w:val="WBDBioBullet"/>
        <w:spacing w:after="80"/>
      </w:pPr>
      <w:r w:rsidRPr="00A610F0">
        <w:rPr>
          <w:i/>
        </w:rPr>
        <w:t>Center for Environmental Health vs. R.J. Reynolds Vapor Company</w:t>
      </w:r>
      <w:r w:rsidRPr="00A610F0">
        <w:t xml:space="preserve"> (2016)</w:t>
      </w:r>
    </w:p>
    <w:p w:rsidRPr="00A610F0" w:rsidR="00A610F0" w:rsidP="00470ADF" w:rsidRDefault="00A610F0" w14:paraId="30B6F7D5" w14:textId="77777777">
      <w:pPr>
        <w:pStyle w:val="WBDBioBullet"/>
        <w:spacing w:after="80"/>
      </w:pPr>
      <w:r w:rsidRPr="00A610F0">
        <w:rPr>
          <w:i/>
        </w:rPr>
        <w:t>In re: American Medical Systems, Inc., Pelvic Repair System Products Liability Litigation</w:t>
      </w:r>
      <w:r w:rsidRPr="00A610F0">
        <w:t xml:space="preserve"> (2016)</w:t>
      </w:r>
    </w:p>
    <w:p w:rsidRPr="00A610F0" w:rsidR="00A610F0" w:rsidP="00470ADF" w:rsidRDefault="00A610F0" w14:paraId="764E6CBC" w14:textId="77777777">
      <w:pPr>
        <w:pStyle w:val="WBDBioBullet"/>
        <w:spacing w:after="80"/>
      </w:pPr>
      <w:r w:rsidRPr="00A610F0">
        <w:rPr>
          <w:i/>
        </w:rPr>
        <w:t>Harris v. R.J. Reynolds Vapor Company</w:t>
      </w:r>
      <w:r w:rsidRPr="00A610F0">
        <w:t xml:space="preserve"> (2015)</w:t>
      </w:r>
    </w:p>
    <w:p w:rsidRPr="00A610F0" w:rsidR="00A610F0" w:rsidP="00470ADF" w:rsidRDefault="00A610F0" w14:paraId="39AE57A4" w14:textId="77777777">
      <w:pPr>
        <w:pStyle w:val="WBDBioBullet"/>
        <w:spacing w:after="80"/>
      </w:pPr>
      <w:r w:rsidRPr="00A610F0">
        <w:rPr>
          <w:i/>
        </w:rPr>
        <w:t>Campbell v. Philip Morris et al.</w:t>
      </w:r>
      <w:r w:rsidRPr="00A610F0">
        <w:t xml:space="preserve"> (2013)</w:t>
      </w:r>
    </w:p>
    <w:p w:rsidRPr="00A610F0" w:rsidR="00A610F0" w:rsidP="00470ADF" w:rsidRDefault="00A610F0" w14:paraId="7065056B" w14:textId="77777777">
      <w:pPr>
        <w:pStyle w:val="WBDBioBullet"/>
        <w:spacing w:after="80"/>
      </w:pPr>
      <w:r w:rsidRPr="00A610F0">
        <w:rPr>
          <w:i/>
        </w:rPr>
        <w:t>Haldeman v. Philip Morris et al.</w:t>
      </w:r>
      <w:r w:rsidRPr="00A610F0">
        <w:t xml:space="preserve"> (2013)</w:t>
      </w:r>
    </w:p>
    <w:p w:rsidRPr="00A610F0" w:rsidR="00A610F0" w:rsidP="00470ADF" w:rsidRDefault="00A610F0" w14:paraId="6E8DC7B7" w14:textId="77777777">
      <w:pPr>
        <w:pStyle w:val="WBDBioBullet"/>
        <w:spacing w:after="80"/>
      </w:pPr>
      <w:proofErr w:type="spellStart"/>
      <w:r w:rsidRPr="00A610F0">
        <w:rPr>
          <w:i/>
        </w:rPr>
        <w:t>Vertison</w:t>
      </w:r>
      <w:proofErr w:type="spellEnd"/>
      <w:r w:rsidRPr="00A610F0">
        <w:rPr>
          <w:i/>
        </w:rPr>
        <w:t xml:space="preserve"> v. American Snuff Company</w:t>
      </w:r>
      <w:r w:rsidRPr="00A610F0">
        <w:t xml:space="preserve"> (2012)</w:t>
      </w:r>
    </w:p>
    <w:p w:rsidRPr="00A610F0" w:rsidR="00A610F0" w:rsidP="00A610F0" w:rsidRDefault="00A610F0" w14:paraId="50339C69" w14:textId="77777777">
      <w:pPr>
        <w:pStyle w:val="WBDBioBullet"/>
      </w:pPr>
      <w:r w:rsidRPr="00A610F0">
        <w:t>National arbitration regarding Master Settlement Agreement Non-Participating Manufacturer Escrow Statute enforcement (2012)</w:t>
      </w:r>
    </w:p>
    <w:p w:rsidR="0082069E" w:rsidP="0082069E" w:rsidRDefault="0082069E" w14:paraId="67043565" w14:textId="77777777">
      <w:pPr>
        <w:pStyle w:val="WBDBioHeading"/>
      </w:pPr>
      <w:r>
        <w:t xml:space="preserve">Professional &amp; Civic Engagement </w:t>
      </w:r>
    </w:p>
    <w:p w:rsidRPr="00A610F0" w:rsidR="00A610F0" w:rsidP="00A610F0" w:rsidRDefault="00A610F0" w14:paraId="278147F3" w14:textId="77777777">
      <w:pPr>
        <w:pStyle w:val="WBDBioBullet"/>
      </w:pPr>
      <w:r w:rsidRPr="00A610F0">
        <w:t>Defense Research Institute (Women in the Law; Young Lawyers)</w:t>
      </w:r>
    </w:p>
    <w:p w:rsidRPr="00A610F0" w:rsidR="00A610F0" w:rsidP="00A610F0" w:rsidRDefault="00A610F0" w14:paraId="25B1EA1B" w14:textId="26158B1A">
      <w:pPr>
        <w:pStyle w:val="WBDBioBullet"/>
        <w:rPr/>
      </w:pPr>
      <w:r w:rsidR="00A610F0">
        <w:rPr/>
        <w:t>Co-Chair</w:t>
      </w:r>
      <w:r w:rsidR="541B3D98">
        <w:rPr/>
        <w:t xml:space="preserve">, </w:t>
      </w:r>
      <w:r w:rsidR="00A610F0">
        <w:rPr/>
        <w:t>NCBA 4ALL Service Day Winston Salem Call Center</w:t>
      </w:r>
      <w:r w:rsidR="4982BCEE">
        <w:rPr/>
        <w:t xml:space="preserve">, </w:t>
      </w:r>
      <w:r w:rsidR="00A610F0">
        <w:rPr/>
        <w:t>2013</w:t>
      </w:r>
    </w:p>
    <w:p w:rsidRPr="00A610F0" w:rsidR="00A610F0" w:rsidP="00A610F0" w:rsidRDefault="00A610F0" w14:paraId="356EC375" w14:textId="77777777">
      <w:pPr>
        <w:pStyle w:val="WBDBioBullet"/>
      </w:pPr>
      <w:r w:rsidRPr="00A610F0">
        <w:t>Past President, Triad Gator Club (local affiliate of the University of Florida Alumni Association)</w:t>
      </w:r>
    </w:p>
    <w:p w:rsidR="00A610F0" w:rsidP="0082069E" w:rsidRDefault="0082069E" w14:paraId="754D3B70" w14:textId="77777777">
      <w:pPr>
        <w:pStyle w:val="WBDBioHeading"/>
      </w:pPr>
      <w:r>
        <w:t>Thought Leadership</w:t>
      </w:r>
    </w:p>
    <w:p w:rsidRPr="008604DE" w:rsidR="0082069E" w:rsidP="00A610F0" w:rsidRDefault="00A610F0" w14:paraId="2EEE3305" w14:textId="77777777">
      <w:pPr>
        <w:pStyle w:val="WBDBioText"/>
      </w:pPr>
      <w:r>
        <w:rPr>
          <w:b/>
        </w:rPr>
        <w:t>Publications</w:t>
      </w:r>
      <w:r w:rsidR="00626DDF">
        <w:t xml:space="preserve"> </w:t>
      </w:r>
    </w:p>
    <w:p w:rsidRPr="00A610F0" w:rsidR="00A610F0" w:rsidP="00A610F0" w:rsidRDefault="00A610F0" w14:paraId="0328200F" w14:textId="3DB00C8A">
      <w:pPr>
        <w:pStyle w:val="WBDBioBullet"/>
        <w:rPr/>
      </w:pPr>
      <w:r w:rsidR="00A610F0">
        <w:rPr/>
        <w:t xml:space="preserve">Christa E. Burger, Alexander P. Rothschild, and Christopher A. </w:t>
      </w:r>
      <w:r w:rsidR="00A610F0">
        <w:rPr/>
        <w:t>Kreiner</w:t>
      </w:r>
      <w:r w:rsidR="00A610F0">
        <w:rPr/>
        <w:t xml:space="preserve">, </w:t>
      </w:r>
      <w:r w:rsidR="3D7D76FE">
        <w:rPr/>
        <w:t>“</w:t>
      </w:r>
      <w:r w:rsidR="00A610F0">
        <w:rPr/>
        <w:t>Timing Is Everything: When Should You Depose the Adverse Party During Discovery?</w:t>
      </w:r>
      <w:r w:rsidR="79E300BB">
        <w:rPr/>
        <w:t xml:space="preserve">” </w:t>
      </w:r>
      <w:r w:rsidRPr="1844DAE5" w:rsidR="00A610F0">
        <w:rPr>
          <w:i w:val="1"/>
          <w:iCs w:val="1"/>
        </w:rPr>
        <w:t>The Brief, Quarterly Publication of the American Bar Association's Tort Trial &amp; Insurance Practice Section, Vol. 44, No. 4</w:t>
      </w:r>
      <w:r w:rsidRPr="1844DAE5" w:rsidR="12C022CA">
        <w:rPr>
          <w:i w:val="1"/>
          <w:iCs w:val="1"/>
        </w:rPr>
        <w:t xml:space="preserve">, </w:t>
      </w:r>
      <w:r w:rsidR="00A610F0">
        <w:rPr/>
        <w:t>2015</w:t>
      </w:r>
    </w:p>
    <w:p w:rsidR="117015F9" w:rsidP="1844DAE5" w:rsidRDefault="117015F9" w14:paraId="03EF70A8" w14:textId="2AF38FD1">
      <w:pPr>
        <w:pStyle w:val="WBDBioBullet"/>
        <w:rPr>
          <w:color w:val="53555C" w:themeColor="text2" w:themeTint="FF" w:themeShade="FF"/>
          <w:sz w:val="20"/>
          <w:szCs w:val="20"/>
        </w:rPr>
      </w:pPr>
      <w:r w:rsidRPr="1844DAE5" w:rsidR="117015F9">
        <w:rPr>
          <w:color w:val="53555C" w:themeColor="text2" w:themeTint="FF" w:themeShade="FF"/>
          <w:sz w:val="20"/>
          <w:szCs w:val="20"/>
        </w:rPr>
        <w:t xml:space="preserve">Bring Back Your Beat, "The Advocate", </w:t>
      </w:r>
      <w:r w:rsidRPr="1844DAE5" w:rsidR="117015F9">
        <w:rPr>
          <w:i w:val="1"/>
          <w:iCs w:val="1"/>
          <w:color w:val="53555C" w:themeColor="text2" w:themeTint="FF" w:themeShade="FF"/>
          <w:sz w:val="20"/>
          <w:szCs w:val="20"/>
        </w:rPr>
        <w:t>Young Lawyers Division of the North Carolina Bar Association, Vol. 32, No. 4,</w:t>
      </w:r>
      <w:r w:rsidRPr="1844DAE5" w:rsidR="117015F9">
        <w:rPr>
          <w:color w:val="53555C" w:themeColor="text2" w:themeTint="FF" w:themeShade="FF"/>
          <w:sz w:val="20"/>
          <w:szCs w:val="20"/>
        </w:rPr>
        <w:t xml:space="preserve"> 2014</w:t>
      </w:r>
    </w:p>
    <w:p w:rsidR="117015F9" w:rsidP="1844DAE5" w:rsidRDefault="117015F9" w14:paraId="5379D54A" w14:textId="44EBE584">
      <w:pPr>
        <w:pStyle w:val="WBDBioBullet"/>
        <w:rPr>
          <w:color w:val="53555C" w:themeColor="text2" w:themeTint="FF" w:themeShade="FF"/>
          <w:sz w:val="20"/>
          <w:szCs w:val="20"/>
        </w:rPr>
      </w:pPr>
      <w:r w:rsidRPr="1844DAE5" w:rsidR="117015F9">
        <w:rPr>
          <w:color w:val="53555C" w:themeColor="text2" w:themeTint="FF" w:themeShade="FF"/>
          <w:sz w:val="20"/>
          <w:szCs w:val="20"/>
        </w:rPr>
        <w:t xml:space="preserve">Co-author, "Expanding Global Trademark Regulation", </w:t>
      </w:r>
      <w:r w:rsidRPr="1844DAE5" w:rsidR="117015F9">
        <w:rPr>
          <w:i w:val="1"/>
          <w:iCs w:val="1"/>
          <w:color w:val="53555C" w:themeColor="text2" w:themeTint="FF" w:themeShade="FF"/>
          <w:sz w:val="20"/>
          <w:szCs w:val="20"/>
        </w:rPr>
        <w:t>10 Wake Forest Intell. Prop. L.J. 215,</w:t>
      </w:r>
      <w:r w:rsidRPr="1844DAE5" w:rsidR="117015F9">
        <w:rPr>
          <w:color w:val="53555C" w:themeColor="text2" w:themeTint="FF" w:themeShade="FF"/>
          <w:sz w:val="20"/>
          <w:szCs w:val="20"/>
        </w:rPr>
        <w:t xml:space="preserve"> 2010</w:t>
      </w:r>
    </w:p>
    <w:p w:rsidR="117015F9" w:rsidP="1844DAE5" w:rsidRDefault="117015F9" w14:paraId="3E17B7C8" w14:textId="2561E350">
      <w:pPr>
        <w:pStyle w:val="WBDBioBullet"/>
        <w:rPr>
          <w:color w:val="53555C" w:themeColor="text2" w:themeTint="FF" w:themeShade="FF"/>
          <w:sz w:val="20"/>
          <w:szCs w:val="20"/>
        </w:rPr>
      </w:pPr>
      <w:r w:rsidRPr="1844DAE5" w:rsidR="117015F9">
        <w:rPr>
          <w:color w:val="53555C" w:themeColor="text2" w:themeTint="FF" w:themeShade="FF"/>
          <w:sz w:val="20"/>
          <w:szCs w:val="20"/>
        </w:rPr>
        <w:t xml:space="preserve">"Are Publicity Rights Gone in a </w:t>
      </w:r>
      <w:r w:rsidRPr="1844DAE5" w:rsidR="117015F9">
        <w:rPr>
          <w:color w:val="53555C" w:themeColor="text2" w:themeTint="FF" w:themeShade="FF"/>
          <w:sz w:val="20"/>
          <w:szCs w:val="20"/>
        </w:rPr>
        <w:t>Flash?:</w:t>
      </w:r>
      <w:r w:rsidRPr="1844DAE5" w:rsidR="117015F9">
        <w:rPr>
          <w:color w:val="53555C" w:themeColor="text2" w:themeTint="FF" w:themeShade="FF"/>
          <w:sz w:val="20"/>
          <w:szCs w:val="20"/>
        </w:rPr>
        <w:t xml:space="preserve"> Flickr, Creative Commons, and the Commercial Use of Personal Photographs", </w:t>
      </w:r>
      <w:r w:rsidRPr="1844DAE5" w:rsidR="117015F9">
        <w:rPr>
          <w:i w:val="1"/>
          <w:iCs w:val="1"/>
          <w:color w:val="53555C" w:themeColor="text2" w:themeTint="FF" w:themeShade="FF"/>
          <w:sz w:val="20"/>
          <w:szCs w:val="20"/>
        </w:rPr>
        <w:t>8 Fla. St. Bus. Rev. 129</w:t>
      </w:r>
      <w:r w:rsidRPr="1844DAE5" w:rsidR="117015F9">
        <w:rPr>
          <w:color w:val="53555C" w:themeColor="text2" w:themeTint="FF" w:themeShade="FF"/>
          <w:sz w:val="20"/>
          <w:szCs w:val="20"/>
        </w:rPr>
        <w:t>, 2009</w:t>
      </w:r>
    </w:p>
    <w:p w:rsidR="0082069E" w:rsidP="00A610F0" w:rsidRDefault="00A610F0" w14:paraId="50A64D33" w14:textId="77777777">
      <w:pPr>
        <w:pStyle w:val="WBDBioText"/>
        <w:rPr>
          <w:b/>
        </w:rPr>
      </w:pPr>
      <w:r w:rsidRPr="1844DAE5" w:rsidR="00A610F0">
        <w:rPr>
          <w:b w:val="1"/>
          <w:bCs w:val="1"/>
        </w:rPr>
        <w:t>Presentations</w:t>
      </w:r>
    </w:p>
    <w:p w:rsidR="25D4A8BA" w:rsidP="1844DAE5" w:rsidRDefault="25D4A8BA" w14:paraId="32442AE2" w14:textId="4A09B27F">
      <w:pPr>
        <w:pStyle w:val="WBDBioBullet"/>
        <w:rPr>
          <w:color w:val="53555C" w:themeColor="text2" w:themeTint="FF" w:themeShade="FF"/>
          <w:sz w:val="20"/>
          <w:szCs w:val="20"/>
        </w:rPr>
      </w:pPr>
      <w:r w:rsidRPr="1844DAE5" w:rsidR="25D4A8BA">
        <w:rPr>
          <w:color w:val="53555C" w:themeColor="text2" w:themeTint="FF" w:themeShade="FF"/>
          <w:sz w:val="20"/>
          <w:szCs w:val="20"/>
        </w:rPr>
        <w:t>Co-presenter, “Compliance &amp; Risk Management: Cost of Business or Competitive Advantage” AHFA Regulatory Summit, October 2017</w:t>
      </w:r>
    </w:p>
    <w:p w:rsidR="25D4A8BA" w:rsidP="1844DAE5" w:rsidRDefault="25D4A8BA" w14:paraId="086E4F55" w14:textId="01F38F50">
      <w:pPr>
        <w:pStyle w:val="WBDBioBullet"/>
        <w:rPr>
          <w:color w:val="53555C" w:themeColor="text2" w:themeTint="FF" w:themeShade="FF"/>
          <w:sz w:val="20"/>
          <w:szCs w:val="20"/>
        </w:rPr>
      </w:pPr>
      <w:r w:rsidRPr="1844DAE5" w:rsidR="25D4A8BA">
        <w:rPr>
          <w:color w:val="53555C" w:themeColor="text2" w:themeTint="FF" w:themeShade="FF"/>
          <w:sz w:val="20"/>
          <w:szCs w:val="20"/>
        </w:rPr>
        <w:t>Co-presenter, “Best Practices for Document Retrieval/Section 770.30 + Labeling”, AHFA Joint Regulatory Workshop, January 2017</w:t>
      </w:r>
    </w:p>
    <w:p w:rsidR="25D4A8BA" w:rsidP="1844DAE5" w:rsidRDefault="25D4A8BA" w14:paraId="4EBA0E94" w14:textId="407DE806">
      <w:pPr>
        <w:pStyle w:val="WBDBioBullet"/>
        <w:rPr>
          <w:color w:val="53555C" w:themeColor="text2" w:themeTint="FF" w:themeShade="FF"/>
          <w:sz w:val="20"/>
          <w:szCs w:val="20"/>
        </w:rPr>
      </w:pPr>
      <w:r w:rsidRPr="1844DAE5" w:rsidR="25D4A8BA">
        <w:rPr>
          <w:color w:val="53555C" w:themeColor="text2" w:themeTint="FF" w:themeShade="FF"/>
          <w:sz w:val="20"/>
          <w:szCs w:val="20"/>
        </w:rPr>
        <w:t>Co-presenter, “It’s All About Location, Location, Location: Remand and Removal in North Carolina”. MDNC Fall CLE and Banquet, October 2016</w:t>
      </w:r>
    </w:p>
    <w:p w:rsidRPr="008604DE" w:rsidR="0082069E" w:rsidP="0082069E" w:rsidRDefault="0082069E" w14:paraId="0E90BC62" w14:textId="77777777">
      <w:pPr>
        <w:pStyle w:val="WBDBioHeading"/>
      </w:pPr>
      <w:r w:rsidRPr="008604DE">
        <w:t>Honors &amp; Awards</w:t>
      </w:r>
      <w:r w:rsidR="00626DDF">
        <w:t xml:space="preserve"> </w:t>
      </w:r>
    </w:p>
    <w:p w:rsidR="00545842" w:rsidP="00545842" w:rsidRDefault="00A610F0" w14:paraId="6197C10F" w14:textId="77777777">
      <w:pPr>
        <w:pStyle w:val="WBDBioBullet"/>
      </w:pPr>
      <w:r w:rsidRPr="00A610F0">
        <w:rPr>
          <w:lang w:val="en-GB"/>
        </w:rPr>
        <w:t>Winston Under 40 leadership Award (2016)</w:t>
      </w:r>
    </w:p>
    <w:p w:rsidR="0082069E" w:rsidP="006F734E" w:rsidRDefault="0082069E" w14:paraId="15D644E7" w14:textId="77777777">
      <w:pPr>
        <w:pStyle w:val="WBDBioHeading"/>
      </w:pPr>
      <w:r>
        <w:t>Education</w:t>
      </w:r>
      <w:r w:rsidR="00626DDF">
        <w:t xml:space="preserve"> </w:t>
      </w:r>
    </w:p>
    <w:p w:rsidR="00A610F0" w:rsidP="00A610F0" w:rsidRDefault="00A610F0" w14:paraId="581E0D56" w14:textId="77777777">
      <w:pPr>
        <w:pStyle w:val="WBDEduBioBullet"/>
      </w:pPr>
      <w:r>
        <w:t>J.D., Florida State University College of Law</w:t>
      </w:r>
      <w:r w:rsidRPr="00A610F0">
        <w:t>, 2010</w:t>
      </w:r>
    </w:p>
    <w:p w:rsidRPr="00A610F0" w:rsidR="00A610F0" w:rsidP="00A610F0" w:rsidRDefault="00A610F0" w14:paraId="13F277A8" w14:textId="77777777">
      <w:pPr>
        <w:pStyle w:val="WBDEduBioSubBullet"/>
        <w:rPr>
          <w:i/>
        </w:rPr>
      </w:pPr>
      <w:r w:rsidRPr="00A610F0">
        <w:rPr>
          <w:i/>
        </w:rPr>
        <w:t>magna cum laude</w:t>
      </w:r>
    </w:p>
    <w:p w:rsidRPr="00A610F0" w:rsidR="00A610F0" w:rsidP="00A610F0" w:rsidRDefault="00A610F0" w14:paraId="57E53295" w14:textId="77777777">
      <w:pPr>
        <w:pStyle w:val="WBDEduBioSubBullet"/>
        <w:rPr>
          <w:i/>
        </w:rPr>
      </w:pPr>
      <w:r>
        <w:t xml:space="preserve">Executive Editor, </w:t>
      </w:r>
      <w:r w:rsidRPr="00A610F0">
        <w:rPr>
          <w:i/>
        </w:rPr>
        <w:t>Florida State University Law Review</w:t>
      </w:r>
    </w:p>
    <w:p w:rsidR="00A610F0" w:rsidP="00A620BD" w:rsidRDefault="00A610F0" w14:paraId="0ED27412" w14:textId="77777777">
      <w:pPr>
        <w:pStyle w:val="WBDEduBioSubBullet"/>
      </w:pPr>
      <w:r>
        <w:t>Book Awards for: Legal Writing &amp; Research I, Legal Writing &amp; Research II, Property I, Mediation</w:t>
      </w:r>
    </w:p>
    <w:p w:rsidR="00A610F0" w:rsidP="00A610F0" w:rsidRDefault="00A610F0" w14:paraId="3ABB8645" w14:textId="77777777">
      <w:pPr>
        <w:pStyle w:val="WBDEduBioBullet"/>
      </w:pPr>
      <w:r>
        <w:t>B.A., University of Florida: Business Administration and Marketing</w:t>
      </w:r>
      <w:r w:rsidRPr="00A610F0">
        <w:t>, 2006</w:t>
      </w:r>
    </w:p>
    <w:p w:rsidR="00A610F0" w:rsidP="00A610F0" w:rsidRDefault="00A610F0" w14:paraId="471AD397" w14:textId="77777777">
      <w:pPr>
        <w:pStyle w:val="WBDEduBioSubBullet"/>
      </w:pPr>
      <w:r>
        <w:t>Alpha Kappa Psi</w:t>
      </w:r>
    </w:p>
    <w:p w:rsidR="00A610F0" w:rsidP="00A610F0" w:rsidRDefault="00A610F0" w14:paraId="6B342F7B" w14:textId="77777777">
      <w:pPr>
        <w:pStyle w:val="WBDEduBioSubBullet"/>
      </w:pPr>
      <w:r>
        <w:t>2009-2010, Wake Forest University School of Law, Visiting J.D. Student</w:t>
      </w:r>
    </w:p>
    <w:p w:rsidR="00545842" w:rsidP="00A610F0" w:rsidRDefault="00A610F0" w14:paraId="4C0E638A" w14:textId="77777777">
      <w:pPr>
        <w:pStyle w:val="WBDEduBioSubBullet"/>
      </w:pPr>
      <w:r>
        <w:t>CALI Excellence Awards for Trial Practice and Trademarks</w:t>
      </w:r>
    </w:p>
    <w:p w:rsidR="0082069E" w:rsidP="006F734E" w:rsidRDefault="0082069E" w14:paraId="5F0D87A9" w14:textId="77777777">
      <w:pPr>
        <w:pStyle w:val="WBDBioHeading"/>
      </w:pPr>
      <w:r>
        <w:t>Admitted to Practice</w:t>
      </w:r>
      <w:r w:rsidR="00626DDF">
        <w:t xml:space="preserve"> </w:t>
      </w:r>
    </w:p>
    <w:p w:rsidR="0082069E" w:rsidP="00D97FAA" w:rsidRDefault="00A610F0" w14:paraId="251A5921" w14:textId="77777777">
      <w:pPr>
        <w:pStyle w:val="WBDEduBioBullet"/>
      </w:pPr>
      <w:r>
        <w:t>North Carolina</w:t>
      </w:r>
    </w:p>
    <w:p w:rsidR="00A610F0" w:rsidP="00D97FAA" w:rsidRDefault="00A610F0" w14:paraId="7EDA0EB1" w14:textId="77777777">
      <w:pPr>
        <w:pStyle w:val="WBDEduBioBullet"/>
      </w:pPr>
      <w:r>
        <w:t xml:space="preserve">Florida </w:t>
      </w:r>
    </w:p>
    <w:p w:rsidR="00A610F0" w:rsidP="00A610F0" w:rsidRDefault="00A610F0" w14:paraId="0E7295FD" w14:textId="77777777">
      <w:pPr>
        <w:pStyle w:val="WBDEduBioBullet"/>
      </w:pPr>
      <w:r>
        <w:t>United States District Court for the Southern District of Florida</w:t>
      </w:r>
    </w:p>
    <w:p w:rsidR="00A610F0" w:rsidP="00A610F0" w:rsidRDefault="00A610F0" w14:paraId="5CF0BDC9" w14:textId="77777777">
      <w:pPr>
        <w:pStyle w:val="WBDEduBioBullet"/>
      </w:pPr>
      <w:r>
        <w:t>United States Court of Appeals, Third Circuit</w:t>
      </w:r>
    </w:p>
    <w:p w:rsidR="00090A3A" w:rsidP="00A610F0" w:rsidRDefault="00A610F0" w14:paraId="1AADAEAD" w14:textId="77777777">
      <w:pPr>
        <w:pStyle w:val="WBDEduBioBullet"/>
      </w:pPr>
      <w:r>
        <w:t>Western District of Michigan</w:t>
      </w:r>
    </w:p>
    <w:p w:rsidR="0082069E" w:rsidP="00AE2186" w:rsidRDefault="0082069E" w14:paraId="1412D07B" w14:textId="77777777">
      <w:pPr>
        <w:pStyle w:val="WBDBioHeading"/>
      </w:pPr>
      <w:r w:rsidR="0082069E">
        <w:rPr/>
        <w:t xml:space="preserve">Related Services </w:t>
      </w:r>
      <w:r w:rsidR="006F734E">
        <w:rPr/>
        <w:t>&amp; Sectors</w:t>
      </w:r>
      <w:r w:rsidR="00626DDF">
        <w:rPr/>
        <w:t xml:space="preserve"> </w:t>
      </w:r>
    </w:p>
    <w:p w:rsidR="73EB75C6" w:rsidP="1844DAE5" w:rsidRDefault="73EB75C6" w14:paraId="1774E28F" w14:textId="03962225">
      <w:pPr>
        <w:pStyle w:val="WBDBioText"/>
        <w:rPr>
          <w:b w:val="1"/>
          <w:bCs w:val="1"/>
        </w:rPr>
      </w:pPr>
      <w:r w:rsidRPr="1844DAE5" w:rsidR="73EB75C6">
        <w:rPr>
          <w:b w:val="1"/>
          <w:bCs w:val="1"/>
        </w:rPr>
        <w:t>Services</w:t>
      </w:r>
    </w:p>
    <w:p w:rsidR="00C6638D" w:rsidP="009C4F2E" w:rsidRDefault="00A610F0" w14:paraId="6A2599A4" w14:textId="1D4AD924">
      <w:pPr>
        <w:pStyle w:val="WBDBioText"/>
      </w:pPr>
      <w:r w:rsidR="00A610F0">
        <w:rPr/>
        <w:t xml:space="preserve">Dispute Resolution and litigation; Regulatory; Class Action Litigation; Mass Torts litigation; Products Litigation and Liability; </w:t>
      </w:r>
    </w:p>
    <w:p w:rsidR="00C6638D" w:rsidP="1844DAE5" w:rsidRDefault="00A610F0" w14:paraId="4D744C1D" w14:textId="77CB4FE7">
      <w:pPr>
        <w:pStyle w:val="WBDBioText"/>
        <w:rPr>
          <w:b w:val="1"/>
          <w:bCs w:val="1"/>
        </w:rPr>
      </w:pPr>
      <w:r w:rsidRPr="1844DAE5" w:rsidR="5664D718">
        <w:rPr>
          <w:b w:val="1"/>
          <w:bCs w:val="1"/>
        </w:rPr>
        <w:t>Sectors</w:t>
      </w:r>
    </w:p>
    <w:p w:rsidR="00C6638D" w:rsidP="009C4F2E" w:rsidRDefault="00A610F0" w14:paraId="30D4C9EA" w14:textId="66900B5B">
      <w:pPr>
        <w:pStyle w:val="WBDBioText"/>
      </w:pPr>
      <w:r w:rsidR="00A610F0">
        <w:rPr/>
        <w:t xml:space="preserve">Manufacturing; Retail and Consumer </w:t>
      </w:r>
    </w:p>
    <w:p w:rsidR="00AE2186" w:rsidP="00AE2186" w:rsidRDefault="00AE2186" w14:paraId="6E52D791" w14:textId="77777777">
      <w:pPr>
        <w:pStyle w:val="WBDMainBodyBullets"/>
        <w:tabs>
          <w:tab w:val="left" w:pos="7499"/>
        </w:tabs>
        <w:spacing w:after="160" w:line="240" w:lineRule="atLeast"/>
        <w:jc w:val="both"/>
      </w:pPr>
    </w:p>
    <w:p w:rsidRPr="009C4F2E" w:rsidR="00AE2186" w:rsidP="009C4F2E" w:rsidRDefault="00AE2186" w14:paraId="7B24D367"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72B5" w:rsidP="009A2A16" w:rsidRDefault="005C72B5" w14:paraId="0F96FF17" w14:textId="77777777">
      <w:pPr>
        <w:spacing w:after="0" w:line="240" w:lineRule="auto"/>
      </w:pPr>
      <w:r>
        <w:separator/>
      </w:r>
    </w:p>
  </w:endnote>
  <w:endnote w:type="continuationSeparator" w:id="0">
    <w:p w:rsidR="005C72B5" w:rsidP="009A2A16" w:rsidRDefault="005C72B5" w14:paraId="4E08E8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72B5" w:rsidP="009A2A16" w:rsidRDefault="005C72B5" w14:paraId="4955DCE1" w14:textId="77777777">
      <w:pPr>
        <w:spacing w:after="0" w:line="240" w:lineRule="auto"/>
      </w:pPr>
      <w:r>
        <w:separator/>
      </w:r>
    </w:p>
  </w:footnote>
  <w:footnote w:type="continuationSeparator" w:id="0">
    <w:p w:rsidR="005C72B5" w:rsidP="009A2A16" w:rsidRDefault="005C72B5" w14:paraId="7F8372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AA1C0B"/>
    <w:multiLevelType w:val="multilevel"/>
    <w:tmpl w:val="F9189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09D67911"/>
    <w:multiLevelType w:val="multilevel"/>
    <w:tmpl w:val="76421EEC"/>
    <w:numStyleLink w:val="NumbLstBullet"/>
  </w:abstractNum>
  <w:abstractNum w:abstractNumId="12" w15:restartNumberingAfterBreak="0">
    <w:nsid w:val="0B766E5B"/>
    <w:multiLevelType w:val="multilevel"/>
    <w:tmpl w:val="B10462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E209F5"/>
    <w:multiLevelType w:val="multilevel"/>
    <w:tmpl w:val="80FE2546"/>
    <w:numStyleLink w:val="NumbLstMain"/>
  </w:abstractNum>
  <w:abstractNum w:abstractNumId="15" w15:restartNumberingAfterBreak="0">
    <w:nsid w:val="11243BD6"/>
    <w:multiLevelType w:val="multilevel"/>
    <w:tmpl w:val="A1E08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21"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B659B7"/>
    <w:multiLevelType w:val="multilevel"/>
    <w:tmpl w:val="5656B1C6"/>
    <w:numStyleLink w:val="NumbLstTableBullet"/>
  </w:abstractNum>
  <w:abstractNum w:abstractNumId="23" w15:restartNumberingAfterBreak="0">
    <w:nsid w:val="396526B4"/>
    <w:multiLevelType w:val="multilevel"/>
    <w:tmpl w:val="76421EEC"/>
    <w:numStyleLink w:val="NumbLstBullet"/>
  </w:abstractNum>
  <w:abstractNum w:abstractNumId="24" w15:restartNumberingAfterBreak="0">
    <w:nsid w:val="3F114214"/>
    <w:multiLevelType w:val="multilevel"/>
    <w:tmpl w:val="5656B1C6"/>
    <w:numStyleLink w:val="NumbLstTableBullet"/>
  </w:abstractNum>
  <w:abstractNum w:abstractNumId="25"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4F037378"/>
    <w:multiLevelType w:val="multilevel"/>
    <w:tmpl w:val="2D64C6E4"/>
    <w:numStyleLink w:val="BulletLeft"/>
  </w:abstractNum>
  <w:abstractNum w:abstractNumId="29" w15:restartNumberingAfterBreak="0">
    <w:nsid w:val="55A0350A"/>
    <w:multiLevelType w:val="multilevel"/>
    <w:tmpl w:val="2D64C6E4"/>
    <w:numStyleLink w:val="BulletLeft"/>
  </w:abstractNum>
  <w:abstractNum w:abstractNumId="30" w15:restartNumberingAfterBreak="0">
    <w:nsid w:val="5A6E7964"/>
    <w:multiLevelType w:val="multilevel"/>
    <w:tmpl w:val="76421EEC"/>
    <w:numStyleLink w:val="NumbLstBullet"/>
  </w:abstractNum>
  <w:abstractNum w:abstractNumId="31" w15:restartNumberingAfterBreak="0">
    <w:nsid w:val="60A13E99"/>
    <w:multiLevelType w:val="multilevel"/>
    <w:tmpl w:val="80FE2546"/>
    <w:numStyleLink w:val="NumbLstMain"/>
  </w:abstractNum>
  <w:abstractNum w:abstractNumId="32" w15:restartNumberingAfterBreak="0">
    <w:nsid w:val="612F2263"/>
    <w:multiLevelType w:val="multilevel"/>
    <w:tmpl w:val="BD9EC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6F124E"/>
    <w:multiLevelType w:val="multilevel"/>
    <w:tmpl w:val="F112E4FA"/>
    <w:numStyleLink w:val="NumbLstNumbers"/>
  </w:abstractNum>
  <w:abstractNum w:abstractNumId="35"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3"/>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3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24"/>
  </w:num>
  <w:num w:numId="25">
    <w:abstractNumId w:val="22"/>
  </w:num>
  <w:num w:numId="26">
    <w:abstractNumId w:val="16"/>
  </w:num>
  <w:num w:numId="27">
    <w:abstractNumId w:val="18"/>
  </w:num>
  <w:num w:numId="28">
    <w:abstractNumId w:val="28"/>
  </w:num>
  <w:num w:numId="29">
    <w:abstractNumId w:val="29"/>
  </w:num>
  <w:num w:numId="30">
    <w:abstractNumId w:val="33"/>
  </w:num>
  <w:num w:numId="31">
    <w:abstractNumId w:val="36"/>
  </w:num>
  <w:num w:numId="32">
    <w:abstractNumId w:val="27"/>
  </w:num>
  <w:num w:numId="33">
    <w:abstractNumId w:val="14"/>
  </w:num>
  <w:num w:numId="34">
    <w:abstractNumId w:val="21"/>
  </w:num>
  <w:num w:numId="35">
    <w:abstractNumId w:val="19"/>
  </w:num>
  <w:num w:numId="36">
    <w:abstractNumId w:val="35"/>
  </w:num>
  <w:num w:numId="37">
    <w:abstractNumId w:val="25"/>
  </w:num>
  <w:num w:numId="38">
    <w:abstractNumId w:val="15"/>
  </w:num>
  <w:num w:numId="39">
    <w:abstractNumId w:val="32"/>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0C8E"/>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0ADF"/>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C72B5"/>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4734A"/>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56F45"/>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0F0"/>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09B"/>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0CD41A60"/>
    <w:rsid w:val="0CEBD893"/>
    <w:rsid w:val="0E8EB701"/>
    <w:rsid w:val="117015F9"/>
    <w:rsid w:val="11C657C3"/>
    <w:rsid w:val="12C022CA"/>
    <w:rsid w:val="1650B846"/>
    <w:rsid w:val="1844DAE5"/>
    <w:rsid w:val="22071B2F"/>
    <w:rsid w:val="25D4A8BA"/>
    <w:rsid w:val="2DF9C8CA"/>
    <w:rsid w:val="300A99D2"/>
    <w:rsid w:val="3D7D76FE"/>
    <w:rsid w:val="4982BCEE"/>
    <w:rsid w:val="53BD933D"/>
    <w:rsid w:val="541B3D98"/>
    <w:rsid w:val="5664D718"/>
    <w:rsid w:val="63159998"/>
    <w:rsid w:val="639066E3"/>
    <w:rsid w:val="73471B66"/>
    <w:rsid w:val="73EB75C6"/>
    <w:rsid w:val="79E300BB"/>
    <w:rsid w:val="7DAD3A3E"/>
    <w:rsid w:val="7F3D94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7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35883958">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60681275">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709844755">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425955057">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39919119">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QorusTemplate.xml" Id="R500050ac4924470d"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QorusTemplate.xml><?xml version="1.0" encoding="utf-8"?>
<QorusTemplate xmlns:xsd="http://www.w3.org/2001/XMLSchema" xmlns:xsi="http://www.w3.org/2001/XMLSchema-instance">
  <TemplateName>Burger, Christa.docx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a260215c-c272-4098-8b3e-ea1e90f04fc2</UniqueID>
  <PermissionsEnabled>false</PermissionsEnabled>
  <Permissions/>
  <ContentDefinition/>
  <PropertiesDefinition>
    <MergedTemplateName>Burger, Christa.docx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QorusTemplateProps.xml><?xml version="1.0" encoding="utf-8"?>
<ds:datastoreItem xmlns:ds="http://schemas.openxmlformats.org/officeDocument/2006/customXml" ds:itemID="{8364AFBB-C6AE-4E8A-9411-738BF7A38769}">
  <ds:schemaRefs/>
</ds:datastoreItem>
</file>

<file path=customXml/_rels/QorusTemplate.xml.rels>&#65279;<?xml version="1.0" encoding="utf-8"?><Relationships xmlns="http://schemas.openxmlformats.org/package/2006/relationships"><Relationship Type="http://schemas.openxmlformats.org/officeDocument/2006/relationships/customXmlProps" Target="/customXml/QorusTemplateProps.xml" Id="Rbfa86d385e194696"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Info xmlns="http://schemas.microsoft.com/office/infopath/2007/PartnerControls">
          <TermName xmlns="http://schemas.microsoft.com/office/infopath/2007/PartnerControls">FL</TermName>
          <TermId xmlns="http://schemas.microsoft.com/office/infopath/2007/PartnerControls">282d3a98-e6b6-4ff6-89f4-f767c97fda63</TermId>
        </TermInfo>
      </Terms>
    </d42f2fe9504841a2a3f125f52294030b>
    <SMEReviewed xmlns="5c3fb01a-b39e-4e51-b0ca-c6db1c8eaf1f">false</SMEReviewed>
    <SMEReviewStatus xmlns="5c3fb01a-b39e-4e51-b0ca-c6db1c8eaf1f">Waiting for Next Review Start Date</SMEReviewStatus>
    <TaxCatchAll xmlns="5c3fb01a-b39e-4e51-b0ca-c6db1c8eaf1f">
      <Value>33</Value>
      <Value>14</Value>
      <Value>13</Value>
      <Value>11</Value>
      <Value>78</Value>
      <Value>76</Value>
      <Value>51</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MT: CMF</TermName>
          <TermId xmlns="http://schemas.microsoft.com/office/infopath/2007/PartnerControls">8e1a8d70-2dbe-4e9a-9cd2-8f1385dfee03</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Manufacturing</TermName>
          <TermId xmlns="http://schemas.microsoft.com/office/infopath/2007/PartnerControls">c052bd65-7258-484a-bcd7-be26808ff965</TermId>
        </TermInfo>
        <TermInfo xmlns="http://schemas.microsoft.com/office/infopath/2007/PartnerControls">
          <TermName xmlns="http://schemas.microsoft.com/office/infopath/2007/PartnerControls">Retail and Consumer</TermName>
          <TermId xmlns="http://schemas.microsoft.com/office/infopath/2007/PartnerControls">f84b27ec-ef77-4182-92b2-59a99b5da69d</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F1F62BA8-0E47-451E-8A39-63CD57BD7491}"/>
</file>

<file path=customXml/itemProps2.xml><?xml version="1.0" encoding="utf-8"?>
<ds:datastoreItem xmlns:ds="http://schemas.openxmlformats.org/officeDocument/2006/customXml" ds:itemID="{06BB46FC-E23C-4F0A-AA37-2BF9799B57E5}"/>
</file>

<file path=customXml/itemProps3.xml><?xml version="1.0" encoding="utf-8"?>
<ds:datastoreItem xmlns:ds="http://schemas.openxmlformats.org/officeDocument/2006/customXml" ds:itemID="{9BA0E641-0CD0-4B0B-B61A-5E0CE45752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Christa_FULL</dc:title>
  <dc:subject/>
  <dc:creator/>
  <cp:keywords/>
  <cp:lastModifiedBy>Brown, Kiara</cp:lastModifiedBy>
  <cp:revision>2</cp:revision>
  <dcterms:created xsi:type="dcterms:W3CDTF">2021-03-25T01:10:00Z</dcterms:created>
  <dcterms:modified xsi:type="dcterms:W3CDTF">2024-02-28T18:52:31Z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Order">
    <vt:r8>7200</vt:r8>
  </property>
  <property fmtid="{D5CDD505-2E9C-101B-9397-08002B2CF9AE}" pid="8" name="WorkflowChangePath">
    <vt:lpwstr>04efad63-24d3-4722-9909-43fc89237b15,60;04efad63-24d3-4722-9909-43fc89237b15,60;04efad63-24d3-4722-9909-43fc89237b15,60;5f3cf35b-08ea-4eda-a3ae-4f77c55de804,10;5f3cf35b-08ea-4eda-a3ae-4f77c55de804,10;5f3cf35b-08ea-4eda-a3ae-4f77c55de804,10;5f3cf35b-08ea-4eda-a3ae-4f77c55de804,14;5f3cf35b-08ea-4eda-a3ae-4f77c55de804,16;5f3cf35b-08ea-4eda-a3ae-4f77c55de804,16;5f3cf35b-08ea-4eda-a3ae-4f77c55de804,16;5f3cf35b-08ea-4eda-a3ae-4f77c55de804,18;5f3cf35b-08ea-4eda-a3ae-4f77c55de804,18;5f3cf35b-08ea-4eda-a3ae-4f77c55de804,21;5f3cf35b-08ea-4eda-a3ae-4f77c55de804,21;5f3cf35b-08ea-4eda-a3ae-4f77c55de804,21;5f3cf35b-08ea-4eda-a3ae-4f77c55de804,21;5f3cf35b-08ea-4eda-a3ae-4f77c55de804,26;5f3cf35b-08ea-4eda-a3ae-4f77c55de804,28;5f3cf35b-08ea-4eda-a3ae-4f77c55de804,28;5f3cf35b-08ea-4eda-a3ae-4f77c55de804,28;</vt:lpwstr>
  </property>
  <property fmtid="{D5CDD505-2E9C-101B-9397-08002B2CF9AE}" pid="9" name="Locations0">
    <vt:lpwstr>19;#Winston Salem</vt:lpwstr>
  </property>
  <property fmtid="{D5CDD505-2E9C-101B-9397-08002B2CF9AE}" pid="10" name="SPSiteID">
    <vt:lpwstr>bda9c02e-d916-4203-b874-2f10e4d65dd7</vt:lpwstr>
  </property>
  <property fmtid="{D5CDD505-2E9C-101B-9397-08002B2CF9AE}" pid="11" name="SPWebID">
    <vt:lpwstr>f13f7df4-45fd-4a91-8c7a-72bf6defb2b5</vt:lpwstr>
  </property>
  <property fmtid="{D5CDD505-2E9C-101B-9397-08002B2CF9AE}" pid="12" name="SPListID">
    <vt:lpwstr>38e15abc-5b12-4d19-8351-40563e2920bf</vt:lpwstr>
  </property>
  <property fmtid="{D5CDD505-2E9C-101B-9397-08002B2CF9AE}" pid="13" name="SPServerURL">
    <vt:lpwstr>https://womble.qorusbreeze.com</vt:lpwstr>
  </property>
  <property fmtid="{D5CDD505-2E9C-101B-9397-08002B2CF9AE}" pid="14" name="ContentTypeId">
    <vt:lpwstr>0x010100C7C9C8D94B54FB4BADD71D948702D6BC</vt:lpwstr>
  </property>
  <property fmtid="{D5CDD505-2E9C-101B-9397-08002B2CF9AE}" pid="15" name="Practice Area">
    <vt:lpwstr>51;#MT: CMF|8e1a8d70-2dbe-4e9a-9cd2-8f1385dfee03</vt:lpwstr>
  </property>
  <property fmtid="{D5CDD505-2E9C-101B-9397-08002B2CF9AE}" pid="16" name="Mansfield Qualified">
    <vt:lpwstr>11;#Yes|204783cf-500d-4616-9612-aece0b37f813</vt:lpwstr>
  </property>
  <property fmtid="{D5CDD505-2E9C-101B-9397-08002B2CF9AE}" pid="17" name="Speciality Area">
    <vt:lpwstr/>
  </property>
  <property fmtid="{D5CDD505-2E9C-101B-9397-08002B2CF9AE}" pid="18" name="Advanced Qualifications">
    <vt:lpwstr/>
  </property>
  <property fmtid="{D5CDD505-2E9C-101B-9397-08002B2CF9AE}" pid="19" name="_ExtendedDescription">
    <vt:lpwstr/>
  </property>
  <property fmtid="{D5CDD505-2E9C-101B-9397-08002B2CF9AE}" pid="20" name="Languages">
    <vt:lpwstr/>
  </property>
  <property fmtid="{D5CDD505-2E9C-101B-9397-08002B2CF9AE}" pid="21" name="Sector">
    <vt:lpwstr>33;#Manufacturing|c052bd65-7258-484a-bcd7-be26808ff965;#78;#Retail and Consumer|f84b27ec-ef77-4182-92b2-59a99b5da69d</vt:lpwstr>
  </property>
  <property fmtid="{D5CDD505-2E9C-101B-9397-08002B2CF9AE}" pid="22" name="Locations">
    <vt:lpwstr>14;#Winston Salem|8c4f9280-1a71-40d5-b2c2-841428e68913</vt:lpwstr>
  </property>
  <property fmtid="{D5CDD505-2E9C-101B-9397-08002B2CF9AE}" pid="23" name="Admissions">
    <vt:lpwstr>13;#NC|6c7e84cf-1939-4659-b1c0-396af0fa85eb;#76;#FL|282d3a98-e6b6-4ff6-89f4-f767c97fda63</vt:lpwstr>
  </property>
  <property fmtid="{D5CDD505-2E9C-101B-9397-08002B2CF9AE}" pid="24" name="GlobalExperience">
    <vt:lpwstr/>
  </property>
</Properties>
</file>