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QorusTemplate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7ED5523"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4721C1" w14:paraId="3594BE8A" w14:textId="77777777">
            <w:pPr>
              <w:pStyle w:val="WBDcontactInfo"/>
            </w:pPr>
            <w:r w:rsidRPr="004721C1">
              <w:rPr>
                <w:noProof/>
              </w:rPr>
              <w:drawing>
                <wp:anchor distT="0" distB="0" distL="114300" distR="114300" simplePos="0" relativeHeight="251673600" behindDoc="1" locked="0" layoutInCell="1" allowOverlap="1" wp14:anchorId="686FCB31" wp14:editId="23D31369">
                  <wp:simplePos x="0" y="0"/>
                  <wp:positionH relativeFrom="column">
                    <wp:posOffset>0</wp:posOffset>
                  </wp:positionH>
                  <wp:positionV relativeFrom="paragraph">
                    <wp:posOffset>387</wp:posOffset>
                  </wp:positionV>
                  <wp:extent cx="1371600" cy="1371600"/>
                  <wp:effectExtent l="0" t="0" r="0" b="0"/>
                  <wp:wrapTight wrapText="bothSides">
                    <wp:wrapPolygon edited="0">
                      <wp:start x="10500" y="0"/>
                      <wp:lineTo x="7800" y="900"/>
                      <wp:lineTo x="5100" y="3300"/>
                      <wp:lineTo x="5100" y="5100"/>
                      <wp:lineTo x="6000" y="9900"/>
                      <wp:lineTo x="2700" y="14700"/>
                      <wp:lineTo x="600" y="21300"/>
                      <wp:lineTo x="17700" y="21300"/>
                      <wp:lineTo x="17700" y="14700"/>
                      <wp:lineTo x="16500" y="4200"/>
                      <wp:lineTo x="14100" y="900"/>
                      <wp:lineTo x="12900" y="0"/>
                      <wp:lineTo x="10500" y="0"/>
                    </wp:wrapPolygon>
                  </wp:wrapTight>
                  <wp:docPr id="1" name="Picture 1" descr="baldwi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win_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4721C1" w14:paraId="265E74A6" w14:textId="77777777">
            <w:pPr>
              <w:pStyle w:val="WBDName"/>
            </w:pPr>
            <w:r w:rsidRPr="004721C1">
              <w:t>Janice C. Baldwin</w:t>
            </w:r>
          </w:p>
          <w:p w:rsidRPr="006F588B" w:rsidR="001555DE" w:rsidP="003E4C50" w:rsidRDefault="004721C1" w14:paraId="10ADC6D8" w14:textId="77777777">
            <w:pPr>
              <w:pStyle w:val="WBDBioTitle"/>
            </w:pPr>
            <w:r>
              <w:t>Partner</w:t>
            </w:r>
          </w:p>
          <w:p w:rsidRPr="006F588B" w:rsidR="001555DE" w:rsidP="003E4C50" w:rsidRDefault="001555DE" w14:paraId="75B20B55" w14:textId="77777777">
            <w:pPr>
              <w:pStyle w:val="WBDBioTitle"/>
            </w:pPr>
          </w:p>
          <w:p w:rsidR="004721C1" w:rsidP="003E4C50" w:rsidRDefault="004721C1" w14:paraId="4A69A4EE" w14:textId="77777777">
            <w:pPr>
              <w:pStyle w:val="WBDcontactInfo"/>
            </w:pPr>
            <w:r w:rsidRPr="004721C1">
              <w:t>Winston-Salem, NC, US</w:t>
            </w:r>
          </w:p>
          <w:p w:rsidRPr="006F588B" w:rsidR="001555DE" w:rsidP="003E4C50" w:rsidRDefault="001555DE" w14:paraId="51E90B69" w14:textId="77777777">
            <w:pPr>
              <w:pStyle w:val="WBDcontactInfo"/>
            </w:pPr>
            <w:r w:rsidRPr="006F588B">
              <w:t>t:</w:t>
            </w:r>
            <w:r>
              <w:rPr>
                <w:noProof/>
              </w:rPr>
              <w:t xml:space="preserve"> </w:t>
            </w:r>
            <w:r>
              <w:rPr>
                <w:noProof/>
              </w:rPr>
              <w:tab/>
            </w:r>
            <w:r w:rsidRPr="004721C1" w:rsidR="004721C1">
              <w:t>336.721.3654</w:t>
            </w:r>
          </w:p>
          <w:p w:rsidRPr="006F588B" w:rsidR="001555DE" w:rsidP="003E4C50" w:rsidRDefault="001555DE" w14:paraId="7467A9E3" w14:textId="77777777">
            <w:pPr>
              <w:pStyle w:val="WBDcontactInfo"/>
              <w:rPr>
                <w:b/>
              </w:rPr>
            </w:pPr>
            <w:r w:rsidRPr="006F588B">
              <w:t>e:</w:t>
            </w:r>
            <w:r>
              <w:rPr>
                <w:noProof/>
              </w:rPr>
              <w:t xml:space="preserve"> </w:t>
            </w:r>
            <w:r>
              <w:rPr>
                <w:noProof/>
              </w:rPr>
              <w:tab/>
            </w:r>
            <w:r w:rsidRPr="004721C1" w:rsidR="004721C1">
              <w:t>janice.baldwin@wbd-us.com</w:t>
            </w:r>
          </w:p>
        </w:tc>
      </w:tr>
    </w:tbl>
    <w:p w:rsidRPr="00AE2186" w:rsidR="00545842" w:rsidP="00545842" w:rsidRDefault="004721C1" w14:paraId="76E7FA4D" w14:textId="3E99C6CC">
      <w:pPr>
        <w:pStyle w:val="WBDBioHeadline"/>
      </w:pPr>
      <w:r w:rsidRPr="5082D6FB" w:rsidR="004721C1">
        <w:rPr>
          <w:noProof/>
        </w:rPr>
        <w:t xml:space="preserve">A partner in the firm’s Corporate and Securities practice group, </w:t>
      </w:r>
      <w:r w:rsidR="164398C6">
        <w:rPr/>
        <w:t>Janice C. Baldwin</w:t>
      </w:r>
      <w:r w:rsidRPr="5082D6FB" w:rsidR="004721C1">
        <w:rPr>
          <w:noProof/>
        </w:rPr>
        <w:t xml:space="preserve"> has more than 34 years of experience helping clients navigate the myriad of technical tax and ERISA rules governing employee benefit plans and executive compensation arrangements. She devotes her time to advising employers of all sizes and industry segments, both public and private, in the design, drafting, implementation, and administration of tax-qualified retirement plans, health care plans, nonqualified deferred compensation arrangements, and executive compensation arrangements, including executive employment agreements, change in control arrangements, severance and separation arrangements, and cash and equity-based compensation plans.</w:t>
      </w:r>
    </w:p>
    <w:p w:rsidRPr="004721C1" w:rsidR="004721C1" w:rsidP="004721C1" w:rsidRDefault="004721C1" w14:paraId="3C7A4CF7" w14:textId="77777777">
      <w:pPr>
        <w:pStyle w:val="WBDBioText"/>
        <w:rPr>
          <w:noProof/>
        </w:rPr>
      </w:pPr>
      <w:r w:rsidRPr="004721C1">
        <w:rPr>
          <w:noProof/>
        </w:rPr>
        <w:t>Jan has extensive experience advising clients on the impact of Code Section 409A, the leading challenge facing executive compensation, and regularly advises clients in other areas of the tax laws affecting executive compensation (such as Code Sections 162(m), 280G and 422). In addition, she advises clients on executive compensation and benefits issues arising in the context of mergers, acquisitions and other corporate events.</w:t>
      </w:r>
    </w:p>
    <w:p w:rsidRPr="004721C1" w:rsidR="004721C1" w:rsidP="004721C1" w:rsidRDefault="004721C1" w14:paraId="3AE77646" w14:textId="77777777">
      <w:pPr>
        <w:pStyle w:val="WBDBioText"/>
        <w:rPr>
          <w:noProof/>
        </w:rPr>
      </w:pPr>
      <w:r w:rsidRPr="004721C1">
        <w:rPr>
          <w:noProof/>
        </w:rPr>
        <w:t>Jan excels at analyzing complex benefit and tax issues and finding practical solutions. She is described by her clients and peers as an astute analyst and a creative problem solver.</w:t>
      </w:r>
    </w:p>
    <w:p w:rsidRPr="004721C1" w:rsidR="004721C1" w:rsidP="004721C1" w:rsidRDefault="004721C1" w14:paraId="5CB12D66" w14:textId="77777777">
      <w:pPr>
        <w:pStyle w:val="WBDBioText"/>
        <w:rPr>
          <w:noProof/>
        </w:rPr>
      </w:pPr>
      <w:r w:rsidRPr="004721C1">
        <w:rPr>
          <w:noProof/>
        </w:rPr>
        <w:t>Should questions or disputes arise, she also provides representation before the Internal Revenue Service and Department of Labor.</w:t>
      </w:r>
    </w:p>
    <w:p w:rsidR="0082069E" w:rsidP="0082069E" w:rsidRDefault="0082069E" w14:paraId="14279752" w14:textId="77777777">
      <w:pPr>
        <w:pStyle w:val="WBDBioHeading"/>
      </w:pPr>
      <w:r>
        <w:t xml:space="preserve">Representative </w:t>
      </w:r>
      <w:r w:rsidRPr="008604DE">
        <w:t>Experience</w:t>
      </w:r>
      <w:r w:rsidR="00626DDF">
        <w:t xml:space="preserve"> </w:t>
      </w:r>
    </w:p>
    <w:p w:rsidR="001350B5" w:rsidP="001350B5" w:rsidRDefault="001350B5" w14:paraId="4DE4E288" w14:textId="77777777">
      <w:pPr>
        <w:pStyle w:val="WBDDisclaimerText"/>
      </w:pPr>
      <w:r w:rsidRPr="001350B5">
        <w:t>Any result the lawyer or law firm may have achieved on behalf of clients in other matters does not necessarily indicate similar results can be obtained for other clients.</w:t>
      </w:r>
    </w:p>
    <w:p w:rsidR="004721C1" w:rsidP="004721C1" w:rsidRDefault="004721C1" w14:paraId="60D348A8" w14:textId="7F149247">
      <w:pPr>
        <w:pStyle w:val="WBDBioBullet"/>
        <w:rPr/>
      </w:pPr>
      <w:r w:rsidR="004721C1">
        <w:rPr/>
        <w:t xml:space="preserve">Provided tax advice on executive compensation matters in significant transactions including: spinoff of an enterprise unit of a multinational hospitality company, merger of a manufacturer of high performance radio systems and a notable semiconductor manufacturer, merger of a </w:t>
      </w:r>
      <w:r w:rsidR="43A16C24">
        <w:rPr/>
        <w:t>publicly</w:t>
      </w:r>
      <w:r w:rsidR="004721C1">
        <w:rPr/>
        <w:t xml:space="preserve"> traded bank holding company with a US-based financial institution, and acquisition of an affiliate marketing agency for global brands and retailers by a subsidiary of a global digital retailer.</w:t>
      </w:r>
    </w:p>
    <w:p w:rsidR="004721C1" w:rsidP="004721C1" w:rsidRDefault="004721C1" w14:paraId="2497394A" w14:textId="7CCAE76C">
      <w:pPr>
        <w:pStyle w:val="WBDBioBullet"/>
        <w:rPr/>
      </w:pPr>
      <w:r w:rsidR="004721C1">
        <w:rPr/>
        <w:t>Provided</w:t>
      </w:r>
      <w:r w:rsidR="004721C1">
        <w:rPr/>
        <w:t xml:space="preserve"> ongoing tax advice on executive compensation matters for a </w:t>
      </w:r>
      <w:r w:rsidR="1543B31E">
        <w:rPr/>
        <w:t>publicly</w:t>
      </w:r>
      <w:r w:rsidR="004721C1">
        <w:rPr/>
        <w:t xml:space="preserve"> traded consumer finance company, a national construction supplier, and a </w:t>
      </w:r>
      <w:r w:rsidR="0BA19F8D">
        <w:rPr/>
        <w:t>publicly</w:t>
      </w:r>
      <w:r w:rsidR="004721C1">
        <w:rPr/>
        <w:t xml:space="preserve"> traded global provider of technology products and solutions.</w:t>
      </w:r>
    </w:p>
    <w:p w:rsidR="0082069E" w:rsidP="004721C1" w:rsidRDefault="004721C1" w14:paraId="587D80B5" w14:textId="77777777">
      <w:pPr>
        <w:pStyle w:val="WBDBioBullet"/>
      </w:pPr>
      <w:r>
        <w:t>Provided ongoing advice on retirement and welfare plan compliance for a world-wide recognized sports membership organization, the trading, distribution and logistics division of global consumer brand, and a community-based non-profit that provides job training, education and employment for veterans.</w:t>
      </w:r>
    </w:p>
    <w:p w:rsidR="0082069E" w:rsidP="0082069E" w:rsidRDefault="0082069E" w14:paraId="61BF7BC4" w14:textId="77777777">
      <w:pPr>
        <w:pStyle w:val="WBDBioHeading"/>
      </w:pPr>
      <w:r>
        <w:t xml:space="preserve">Professional &amp; Civic Engagement </w:t>
      </w:r>
    </w:p>
    <w:p w:rsidR="004721C1" w:rsidP="004721C1" w:rsidRDefault="004721C1" w14:paraId="09FBEA25" w14:textId="77777777">
      <w:pPr>
        <w:pStyle w:val="WBDBioBullet"/>
      </w:pPr>
      <w:r>
        <w:t>Forsyth County Bar Association</w:t>
      </w:r>
    </w:p>
    <w:p w:rsidR="00545842" w:rsidP="004721C1" w:rsidRDefault="004721C1" w14:paraId="20523C0D" w14:textId="77777777">
      <w:pPr>
        <w:pStyle w:val="WBDBioBullet"/>
      </w:pPr>
      <w:r>
        <w:t>North Carolina Bar Association (Former Member of Tax Council 1990-95).</w:t>
      </w:r>
    </w:p>
    <w:p w:rsidRPr="008604DE" w:rsidR="0082069E" w:rsidP="0082069E" w:rsidRDefault="0082069E" w14:paraId="0DD67174" w14:textId="77777777">
      <w:pPr>
        <w:pStyle w:val="WBDBioHeading"/>
      </w:pPr>
      <w:r>
        <w:t>Thought Leadership</w:t>
      </w:r>
      <w:r w:rsidR="00626DDF">
        <w:t xml:space="preserve"> </w:t>
      </w:r>
    </w:p>
    <w:p w:rsidR="004721C1" w:rsidP="004721C1" w:rsidRDefault="004721C1" w14:paraId="76CB217D" w14:textId="49D1F420">
      <w:pPr>
        <w:pStyle w:val="WBDBioBullet"/>
        <w:rPr/>
      </w:pPr>
      <w:r w:rsidR="004721C1">
        <w:rPr/>
        <w:t>Co-author: “A recent IRS ruling enables trustees of employee stock ownership plans to vote allocated shares of securities for which they fail to receive voting instruction,</w:t>
      </w:r>
      <w:r w:rsidR="4DC49317">
        <w:rPr/>
        <w:t>”</w:t>
      </w:r>
      <w:r w:rsidR="1E10A50F">
        <w:rPr/>
        <w:t xml:space="preserve"> </w:t>
      </w:r>
      <w:r w:rsidRPr="330D387E" w:rsidR="004721C1">
        <w:rPr>
          <w:i w:val="1"/>
          <w:iCs w:val="1"/>
        </w:rPr>
        <w:t>National Law Journal</w:t>
      </w:r>
      <w:r w:rsidRPr="330D387E" w:rsidR="7E2503E6">
        <w:rPr>
          <w:i w:val="1"/>
          <w:iCs w:val="1"/>
        </w:rPr>
        <w:t xml:space="preserve">, </w:t>
      </w:r>
      <w:r w:rsidR="795211C8">
        <w:rPr/>
        <w:t>October</w:t>
      </w:r>
      <w:r w:rsidR="004721C1">
        <w:rPr/>
        <w:t xml:space="preserve"> 1995</w:t>
      </w:r>
    </w:p>
    <w:p w:rsidR="0082069E" w:rsidP="004721C1" w:rsidRDefault="004721C1" w14:paraId="69D0BB02" w14:textId="3A811C79">
      <w:pPr>
        <w:pStyle w:val="WBDBioBullet"/>
        <w:rPr/>
      </w:pPr>
      <w:r w:rsidR="004721C1">
        <w:rPr/>
        <w:t xml:space="preserve">Author: “Compensation - A Simple Concept Made Complex,” </w:t>
      </w:r>
      <w:r w:rsidRPr="330D387E" w:rsidR="004721C1">
        <w:rPr>
          <w:i w:val="1"/>
          <w:iCs w:val="1"/>
        </w:rPr>
        <w:t>Benefits Quarterly</w:t>
      </w:r>
      <w:r w:rsidRPr="330D387E" w:rsidR="17A89FE2">
        <w:rPr>
          <w:i w:val="1"/>
          <w:iCs w:val="1"/>
        </w:rPr>
        <w:t xml:space="preserve">, </w:t>
      </w:r>
      <w:r w:rsidR="004721C1">
        <w:rPr/>
        <w:t>Third Quarter 1992</w:t>
      </w:r>
    </w:p>
    <w:p w:rsidRPr="008604DE" w:rsidR="0082069E" w:rsidP="0082069E" w:rsidRDefault="0082069E" w14:paraId="07A32CA6" w14:textId="77777777">
      <w:pPr>
        <w:pStyle w:val="WBDBioHeading"/>
      </w:pPr>
      <w:r w:rsidRPr="008604DE">
        <w:t>Honors &amp; Awards</w:t>
      </w:r>
      <w:r w:rsidR="00626DDF">
        <w:t xml:space="preserve"> </w:t>
      </w:r>
    </w:p>
    <w:p w:rsidRPr="004721C1" w:rsidR="004721C1" w:rsidP="004721C1" w:rsidRDefault="004721C1" w14:paraId="19F48585" w14:textId="77777777">
      <w:pPr>
        <w:pStyle w:val="WBDBioBullet"/>
      </w:pPr>
      <w:r w:rsidRPr="004721C1">
        <w:t>Recognized in </w:t>
      </w:r>
      <w:r w:rsidRPr="004721C1">
        <w:rPr>
          <w:i/>
          <w:iCs/>
        </w:rPr>
        <w:t>The Best Lawyers in America</w:t>
      </w:r>
      <w:r w:rsidRPr="004721C1">
        <w:t> (BL Rankings) in the fields of Employee Benefits (ERISA) Law, Tax Law, 2015 – Present</w:t>
      </w:r>
    </w:p>
    <w:p w:rsidRPr="004721C1" w:rsidR="004721C1" w:rsidP="004721C1" w:rsidRDefault="004721C1" w14:paraId="54B2EF0B" w14:textId="77777777">
      <w:pPr>
        <w:pStyle w:val="WBDBioBullet"/>
      </w:pPr>
      <w:r w:rsidRPr="004721C1">
        <w:t>Received the Best Lawyers™ Employee Benefits (ERISA) Law "Lawyer of the Year" award in Winston-Salem, North Carolina, 2020 </w:t>
      </w:r>
    </w:p>
    <w:p w:rsidR="0082069E" w:rsidP="006F734E" w:rsidRDefault="0082069E" w14:paraId="6F896DE2" w14:textId="77777777">
      <w:pPr>
        <w:pStyle w:val="WBDBioHeading"/>
      </w:pPr>
      <w:r>
        <w:t>Education</w:t>
      </w:r>
      <w:r w:rsidR="00626DDF">
        <w:t xml:space="preserve"> </w:t>
      </w:r>
    </w:p>
    <w:p w:rsidRPr="004721C1" w:rsidR="004721C1" w:rsidP="004721C1" w:rsidRDefault="004721C1" w14:paraId="06495EBB" w14:textId="77777777">
      <w:pPr>
        <w:pStyle w:val="WBDBioBullet"/>
      </w:pPr>
      <w:r w:rsidRPr="004721C1">
        <w:t>J.D., Wake Forest University School of Law, 1985</w:t>
      </w:r>
    </w:p>
    <w:p w:rsidRPr="004721C1" w:rsidR="004721C1" w:rsidP="004721C1" w:rsidRDefault="004721C1" w14:paraId="47C3E780" w14:textId="77777777">
      <w:pPr>
        <w:pStyle w:val="WBDEduBioSubBullet"/>
        <w:rPr>
          <w:i/>
        </w:rPr>
      </w:pPr>
      <w:r w:rsidRPr="004721C1">
        <w:rPr>
          <w:i/>
        </w:rPr>
        <w:t>cum laude</w:t>
      </w:r>
    </w:p>
    <w:p w:rsidRPr="004721C1" w:rsidR="004721C1" w:rsidP="004721C1" w:rsidRDefault="004721C1" w14:paraId="419502D9" w14:textId="77777777">
      <w:pPr>
        <w:pStyle w:val="WBDEduBioSubBullet"/>
        <w:rPr>
          <w:i/>
        </w:rPr>
      </w:pPr>
      <w:r w:rsidRPr="004721C1">
        <w:rPr>
          <w:i/>
        </w:rPr>
        <w:t>Law Review</w:t>
      </w:r>
    </w:p>
    <w:p w:rsidRPr="004721C1" w:rsidR="004721C1" w:rsidP="004721C1" w:rsidRDefault="004721C1" w14:paraId="0C9B2783" w14:textId="77777777">
      <w:pPr>
        <w:pStyle w:val="WBDEduBioSubBullet"/>
      </w:pPr>
      <w:r w:rsidRPr="004721C1">
        <w:t>Moot Court Board, Student Trial Bar</w:t>
      </w:r>
    </w:p>
    <w:p w:rsidRPr="004721C1" w:rsidR="004721C1" w:rsidP="004721C1" w:rsidRDefault="004721C1" w14:paraId="3747768D" w14:textId="77777777">
      <w:pPr>
        <w:pStyle w:val="WBDEduBioSubBullet"/>
      </w:pPr>
      <w:r w:rsidRPr="004721C1">
        <w:t>Who’s Who in American Colleges and Universities</w:t>
      </w:r>
    </w:p>
    <w:p w:rsidRPr="004721C1" w:rsidR="004721C1" w:rsidP="004721C1" w:rsidRDefault="004721C1" w14:paraId="4B9BCE46" w14:textId="77777777">
      <w:pPr>
        <w:pStyle w:val="WBDBioBullet"/>
      </w:pPr>
      <w:r w:rsidRPr="004721C1">
        <w:t>B.A., James Madison University, 1982</w:t>
      </w:r>
    </w:p>
    <w:p w:rsidRPr="004721C1" w:rsidR="004721C1" w:rsidP="004721C1" w:rsidRDefault="004721C1" w14:paraId="33451F1C" w14:textId="77777777">
      <w:pPr>
        <w:pStyle w:val="WBDEduBioSubBullet"/>
        <w:rPr>
          <w:i/>
        </w:rPr>
      </w:pPr>
      <w:r w:rsidRPr="004721C1">
        <w:rPr>
          <w:i/>
        </w:rPr>
        <w:t>summa cum laude</w:t>
      </w:r>
    </w:p>
    <w:p w:rsidRPr="004721C1" w:rsidR="004721C1" w:rsidP="004721C1" w:rsidRDefault="004721C1" w14:paraId="7DC73A2D" w14:textId="77777777">
      <w:pPr>
        <w:pStyle w:val="WBDEduBioSubBullet"/>
      </w:pPr>
      <w:r w:rsidRPr="004721C1">
        <w:t>Omicron Delta Kappa, Mortar Board Honorary Society</w:t>
      </w:r>
    </w:p>
    <w:p w:rsidRPr="004721C1" w:rsidR="004721C1" w:rsidP="004721C1" w:rsidRDefault="004721C1" w14:paraId="5F0FDBB6" w14:textId="77777777">
      <w:pPr>
        <w:pStyle w:val="WBDEduBioSubBullet"/>
      </w:pPr>
      <w:r w:rsidRPr="004721C1">
        <w:t>Who’s Who in American Colleges and Universities</w:t>
      </w:r>
    </w:p>
    <w:p w:rsidR="0082069E" w:rsidP="006F734E" w:rsidRDefault="0082069E" w14:paraId="7E6CCF9F" w14:textId="77777777">
      <w:pPr>
        <w:pStyle w:val="WBDBioHeading"/>
      </w:pPr>
      <w:r>
        <w:t>Admitted to Practice</w:t>
      </w:r>
      <w:r w:rsidR="00626DDF">
        <w:t xml:space="preserve"> </w:t>
      </w:r>
    </w:p>
    <w:p w:rsidR="00090A3A" w:rsidP="00D97FAA" w:rsidRDefault="004721C1" w14:paraId="2F66064B" w14:textId="77777777">
      <w:pPr>
        <w:pStyle w:val="WBDEduBioBullet"/>
      </w:pPr>
      <w:r>
        <w:t>North Carolina</w:t>
      </w:r>
    </w:p>
    <w:p w:rsidR="0082069E" w:rsidP="330D387E" w:rsidRDefault="0082069E" w14:paraId="7A61404F" w14:textId="4C707F46">
      <w:pPr>
        <w:pStyle w:val="WBDBioHeading"/>
      </w:pPr>
      <w:r w:rsidR="0082069E">
        <w:rPr/>
        <w:t xml:space="preserve">Related Services </w:t>
      </w:r>
      <w:r w:rsidR="006F734E">
        <w:rPr/>
        <w:t>&amp; Sectors</w:t>
      </w:r>
      <w:r w:rsidR="00626DDF">
        <w:rPr/>
        <w:t xml:space="preserve"> </w:t>
      </w:r>
    </w:p>
    <w:p w:rsidR="00C6638D" w:rsidP="330D387E" w:rsidRDefault="004721C1" w14:paraId="306B2D18" w14:textId="3B26F4D5">
      <w:pPr>
        <w:pStyle w:val="WBDBioText"/>
        <w:rPr>
          <w:b w:val="1"/>
          <w:bCs w:val="1"/>
        </w:rPr>
      </w:pPr>
      <w:r w:rsidRPr="330D387E" w:rsidR="7077F8AD">
        <w:rPr>
          <w:b w:val="1"/>
          <w:bCs w:val="1"/>
        </w:rPr>
        <w:t>Services</w:t>
      </w:r>
    </w:p>
    <w:p w:rsidR="00C6638D" w:rsidP="009C4F2E" w:rsidRDefault="004721C1" w14:paraId="65E53A30" w14:textId="4395CC1A">
      <w:pPr>
        <w:pStyle w:val="WBDBioText"/>
      </w:pPr>
      <w:r w:rsidR="004721C1">
        <w:rPr/>
        <w:t>Corporate</w:t>
      </w:r>
      <w:r w:rsidR="004721C1">
        <w:rPr/>
        <w:t xml:space="preserve">; Employment and Pensions; Employee Benefits; </w:t>
      </w:r>
      <w:r w:rsidR="004721C1">
        <w:rPr/>
        <w:t>Contract Drafting</w:t>
      </w:r>
      <w:r w:rsidR="004721C1">
        <w:rPr/>
        <w:t xml:space="preserve">; </w:t>
      </w:r>
      <w:r w:rsidR="004721C1">
        <w:rPr/>
        <w:t>HDHP/HSA Arrangements</w:t>
      </w:r>
      <w:r w:rsidR="004721C1">
        <w:rPr/>
        <w:t xml:space="preserve">; </w:t>
      </w:r>
      <w:r w:rsidR="004721C1">
        <w:rPr/>
        <w:t>409A Compliance</w:t>
      </w:r>
      <w:r w:rsidR="004721C1">
        <w:rPr/>
        <w:t xml:space="preserve">; </w:t>
      </w:r>
      <w:r w:rsidR="004721C1">
        <w:rPr/>
        <w:t>Retirement Plan Service Provider Agreements</w:t>
      </w:r>
      <w:r w:rsidR="004721C1">
        <w:rPr/>
        <w:t xml:space="preserve">; </w:t>
      </w:r>
      <w:r w:rsidR="004721C1">
        <w:rPr/>
        <w:t>Employment Agreements</w:t>
      </w:r>
      <w:r w:rsidR="004721C1">
        <w:rPr/>
        <w:t xml:space="preserve">; </w:t>
      </w:r>
      <w:r w:rsidR="004721C1">
        <w:rPr/>
        <w:t>401(k) Plan Nondiscrimination Testing</w:t>
      </w:r>
      <w:r w:rsidR="004721C1">
        <w:rPr/>
        <w:t xml:space="preserve">; </w:t>
      </w:r>
      <w:r w:rsidR="004721C1">
        <w:rPr/>
        <w:t>ERISA Compliance</w:t>
      </w:r>
      <w:r w:rsidR="22911766">
        <w:rPr/>
        <w:t>; Finance: Banking, Restructuring, Insolvency;</w:t>
      </w:r>
      <w:r w:rsidR="22911766">
        <w:rPr/>
        <w:t xml:space="preserve"> Executive Recruitment </w:t>
      </w:r>
      <w:r w:rsidR="22911766">
        <w:rPr/>
        <w:t>And</w:t>
      </w:r>
      <w:r w:rsidR="22911766">
        <w:rPr/>
        <w:t xml:space="preserve"> Termination; </w:t>
      </w:r>
      <w:r w:rsidR="22911766">
        <w:rPr/>
        <w:t xml:space="preserve">Employee Equity Plans </w:t>
      </w:r>
      <w:r w:rsidR="22911766">
        <w:rPr/>
        <w:t>And</w:t>
      </w:r>
      <w:r w:rsidR="22911766">
        <w:rPr/>
        <w:t xml:space="preserve"> Incentives</w:t>
      </w:r>
    </w:p>
    <w:p w:rsidR="00C6638D" w:rsidP="009C4F2E" w:rsidRDefault="004721C1" w14:paraId="090F5889" w14:textId="0EE3E9F3">
      <w:pPr>
        <w:pStyle w:val="WBDBioText"/>
      </w:pPr>
    </w:p>
    <w:p w:rsidR="00AE2186" w:rsidP="00AE2186" w:rsidRDefault="00AE2186" w14:paraId="2CC42D2D" w14:textId="77777777">
      <w:pPr>
        <w:pStyle w:val="WBDMainBodyBullets"/>
        <w:tabs>
          <w:tab w:val="left" w:pos="7499"/>
        </w:tabs>
        <w:spacing w:after="160" w:line="240" w:lineRule="atLeast"/>
        <w:jc w:val="both"/>
      </w:pPr>
    </w:p>
    <w:p w:rsidRPr="009C4F2E" w:rsidR="00AE2186" w:rsidP="009C4F2E" w:rsidRDefault="00AE2186" w14:paraId="7D05F408"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FCF" w:rsidP="009A2A16" w:rsidRDefault="00002FCF" w14:paraId="66B65D90" w14:textId="77777777">
      <w:pPr>
        <w:spacing w:after="0" w:line="240" w:lineRule="auto"/>
      </w:pPr>
      <w:r>
        <w:separator/>
      </w:r>
    </w:p>
  </w:endnote>
  <w:endnote w:type="continuationSeparator" w:id="0">
    <w:p w:rsidR="00002FCF" w:rsidP="009A2A16" w:rsidRDefault="00002FCF" w14:paraId="439A41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FCF" w:rsidP="009A2A16" w:rsidRDefault="00002FCF" w14:paraId="43755841" w14:textId="77777777">
      <w:pPr>
        <w:spacing w:after="0" w:line="240" w:lineRule="auto"/>
      </w:pPr>
      <w:r>
        <w:separator/>
      </w:r>
    </w:p>
  </w:footnote>
  <w:footnote w:type="continuationSeparator" w:id="0">
    <w:p w:rsidR="00002FCF" w:rsidP="009A2A16" w:rsidRDefault="00002FCF" w14:paraId="0FDF6F6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7F7B25"/>
    <w:multiLevelType w:val="multilevel"/>
    <w:tmpl w:val="3384D4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D370E45"/>
    <w:multiLevelType w:val="multilevel"/>
    <w:tmpl w:val="42869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55A0350A"/>
    <w:multiLevelType w:val="multilevel"/>
    <w:tmpl w:val="2D64C6E4"/>
    <w:numStyleLink w:val="BulletLeft"/>
  </w:abstractNum>
  <w:abstractNum w:abstractNumId="29" w15:restartNumberingAfterBreak="0">
    <w:nsid w:val="5A6E7964"/>
    <w:multiLevelType w:val="multilevel"/>
    <w:tmpl w:val="76421EEC"/>
    <w:numStyleLink w:val="NumbLstBullet"/>
  </w:abstractNum>
  <w:abstractNum w:abstractNumId="30" w15:restartNumberingAfterBreak="0">
    <w:nsid w:val="60A13E99"/>
    <w:multiLevelType w:val="multilevel"/>
    <w:tmpl w:val="80FE2546"/>
    <w:numStyleLink w:val="NumbLstMain"/>
  </w:abstractNum>
  <w:abstractNum w:abstractNumId="31"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6F124E"/>
    <w:multiLevelType w:val="multilevel"/>
    <w:tmpl w:val="F112E4FA"/>
    <w:numStyleLink w:val="NumbLstNumbers"/>
  </w:abstractNum>
  <w:abstractNum w:abstractNumId="33"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2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21"/>
  </w:num>
  <w:num w:numId="25">
    <w:abstractNumId w:val="19"/>
  </w:num>
  <w:num w:numId="26">
    <w:abstractNumId w:val="13"/>
  </w:num>
  <w:num w:numId="27">
    <w:abstractNumId w:val="15"/>
  </w:num>
  <w:num w:numId="28">
    <w:abstractNumId w:val="27"/>
  </w:num>
  <w:num w:numId="29">
    <w:abstractNumId w:val="28"/>
  </w:num>
  <w:num w:numId="30">
    <w:abstractNumId w:val="31"/>
  </w:num>
  <w:num w:numId="31">
    <w:abstractNumId w:val="34"/>
  </w:num>
  <w:num w:numId="32">
    <w:abstractNumId w:val="26"/>
  </w:num>
  <w:num w:numId="33">
    <w:abstractNumId w:val="12"/>
  </w:num>
  <w:num w:numId="34">
    <w:abstractNumId w:val="18"/>
  </w:num>
  <w:num w:numId="35">
    <w:abstractNumId w:val="16"/>
  </w:num>
  <w:num w:numId="36">
    <w:abstractNumId w:val="33"/>
  </w:num>
  <w:num w:numId="37">
    <w:abstractNumId w:val="22"/>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2FCF"/>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89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0B5"/>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21C1"/>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5B17"/>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1244"/>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2F5B"/>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BA19F8D"/>
    <w:rsid w:val="1543B31E"/>
    <w:rsid w:val="164398C6"/>
    <w:rsid w:val="17A89FE2"/>
    <w:rsid w:val="1E10A50F"/>
    <w:rsid w:val="22911766"/>
    <w:rsid w:val="2647DDD3"/>
    <w:rsid w:val="270C1293"/>
    <w:rsid w:val="330D387E"/>
    <w:rsid w:val="3490DD9C"/>
    <w:rsid w:val="43A16C24"/>
    <w:rsid w:val="448683F6"/>
    <w:rsid w:val="48C2EFB1"/>
    <w:rsid w:val="4DC49317"/>
    <w:rsid w:val="5082D6FB"/>
    <w:rsid w:val="58E8E3D9"/>
    <w:rsid w:val="5DC2EA74"/>
    <w:rsid w:val="61714504"/>
    <w:rsid w:val="7077F8AD"/>
    <w:rsid w:val="771CF58E"/>
    <w:rsid w:val="795211C8"/>
    <w:rsid w:val="7E2503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469397463">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43948213">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40340525">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06791434">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customXml" Target="/customXml/QorusTemplate.xml" Id="R81f8911a84ea43a8" /><Relationship Type="http://schemas.openxmlformats.org/officeDocument/2006/relationships/webSettings" Target="webSettings.xml" Id="rId4"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QorusTemplate.xml><?xml version="1.0" encoding="utf-8"?>
<QorusTemplate xmlns:xsd="http://www.w3.org/2001/XMLSchema" xmlns:xsi="http://www.w3.org/2001/XMLSchema-instance">
  <TemplateName>Baldwin, Janice.docx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2c5051bf-d77b-4224-8d64-6d8a8ed5c0c8</ParentListID>
  <AssociatedListID>38e15abc-5b12-4d19-8351-40563e2920bf</AssociatedListID>
  <UniqueID>97d22326-c2bb-47e4-9b8c-a66d48e437b6</UniqueID>
  <PermissionsEnabled>false</PermissionsEnabled>
  <Permissions/>
  <ContentDefinition/>
  <PropertiesDefinition>
    <MergedTemplateName>Baldwin, Janice.docx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QorusTemplateProps.xml><?xml version="1.0" encoding="utf-8"?>
<ds:datastoreItem xmlns:ds="http://schemas.openxmlformats.org/officeDocument/2006/customXml" ds:itemID="{2F475FD8-8450-42B4-9DEF-B0D71CF6DFCC}">
  <ds:schemaRefs/>
</ds:datastoreItem>
</file>

<file path=customXml/_rels/QorusTemplate.xml.rels>&#65279;<?xml version="1.0" encoding="utf-8"?><Relationships xmlns="http://schemas.openxmlformats.org/package/2006/relationships"><Relationship Type="http://schemas.openxmlformats.org/officeDocument/2006/relationships/customXmlProps" Target="/customXml/QorusTemplateProps.xml" Id="R41cad9172a4346b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539c1894d843a1a6aa9dd63c33df2e xmlns="5c3fb01a-b39e-4e51-b0ca-c6db1c8eaf1f">
      <Terms xmlns="http://schemas.microsoft.com/office/infopath/2007/PartnerControls"/>
    </d8539c1894d843a1a6aa9dd63c33df2e>
    <SMEReviewedBy xmlns="5c3fb01a-b39e-4e51-b0ca-c6db1c8eaf1f" xsi:nil="true"/>
    <ContentManager xmlns="5c3fb01a-b39e-4e51-b0ca-c6db1c8eaf1f">
      <UserInfo>
        <DisplayName>Luzum, Sarah Beth</DisplayName>
        <AccountId>20</AccountId>
        <AccountType/>
      </UserInfo>
    </ContentManager>
    <TaxCatchAll xmlns="5c3fb01a-b39e-4e51-b0ca-c6db1c8eaf1f" xsi:nil="true"/>
    <ba570f317bd44ee1a6e9a3ee949bf26f xmlns="5c3fb01a-b39e-4e51-b0ca-c6db1c8eaf1f">
      <Terms xmlns="http://schemas.microsoft.com/office/infopath/2007/PartnerControls"/>
    </ba570f317bd44ee1a6e9a3ee949bf26f>
    <d42f2fe9504841a2a3f125f52294030b xmlns="5c3fb01a-b39e-4e51-b0ca-c6db1c8eaf1f">
      <Terms xmlns="http://schemas.microsoft.com/office/infopath/2007/PartnerControls"/>
    </d42f2fe9504841a2a3f125f52294030b>
    <SMEReviewStatus xmlns="5c3fb01a-b39e-4e51-b0ca-c6db1c8eaf1f">Waiting for Next Review Start Date</SMEReviewStatus>
    <p4de6da52f6e4b689edd7a5c3b77d2dc xmlns="5c3fb01a-b39e-4e51-b0ca-c6db1c8eaf1f">
      <Terms xmlns="http://schemas.microsoft.com/office/infopath/2007/PartnerControls"/>
    </p4de6da52f6e4b689edd7a5c3b77d2dc>
    <ReviewInterval xmlns="5c3fb01a-b39e-4e51-b0ca-c6db1c8eaf1f" xsi:nil="true"/>
    <fabcec6c47494b37a307696bfbee5beb xmlns="5c3fb01a-b39e-4e51-b0ca-c6db1c8eaf1f">
      <Terms xmlns="http://schemas.microsoft.com/office/infopath/2007/PartnerControls"/>
    </fabcec6c47494b37a307696bfbee5beb>
    <SME xmlns="5c3fb01a-b39e-4e51-b0ca-c6db1c8eaf1f">
      <UserInfo>
        <DisplayName/>
        <AccountId xsi:nil="true"/>
        <AccountType/>
      </UserInfo>
    </SME>
    <SMEReviewed xmlns="5c3fb01a-b39e-4e51-b0ca-c6db1c8eaf1f">false</SMEReviewed>
    <jad5834dd2384771b6fadba8804e791d xmlns="5c3fb01a-b39e-4e51-b0ca-c6db1c8eaf1f">
      <Terms xmlns="http://schemas.microsoft.com/office/infopath/2007/PartnerControls"/>
    </jad5834dd2384771b6fadba8804e791d>
    <Approve xmlns="5c3fb01a-b39e-4e51-b0ca-c6db1c8eaf1f">false</Approve>
    <SecondarySME xmlns="5c3fb01a-b39e-4e51-b0ca-c6db1c8eaf1f">
      <UserInfo>
        <DisplayName/>
        <AccountId xsi:nil="true"/>
        <AccountType/>
      </UserInfo>
    </SecondarySME>
    <jad4a417dbce4b2fa6c3be306a8ae1cd xmlns="5c3fb01a-b39e-4e51-b0ca-c6db1c8eaf1f">
      <Terms xmlns="http://schemas.microsoft.com/office/infopath/2007/PartnerControls"/>
    </jad4a417dbce4b2fa6c3be306a8ae1cd>
    <ReviewDate xmlns="5c3fb01a-b39e-4e51-b0ca-c6db1c8eaf1f" xsi:nil="tru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229D82EA-78BE-420D-80A4-85F3CB72E443}"/>
</file>

<file path=customXml/itemProps2.xml><?xml version="1.0" encoding="utf-8"?>
<ds:datastoreItem xmlns:ds="http://schemas.openxmlformats.org/officeDocument/2006/customXml" ds:itemID="{26E68E36-54C6-4DF5-9D4A-905E931FBEE3}"/>
</file>

<file path=customXml/itemProps3.xml><?xml version="1.0" encoding="utf-8"?>
<ds:datastoreItem xmlns:ds="http://schemas.openxmlformats.org/officeDocument/2006/customXml" ds:itemID="{72AF3951-2263-42F3-9F02-3B8C7222EA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Brown, Kiara</lastModifiedBy>
  <revision>3</revision>
  <dcterms:created xsi:type="dcterms:W3CDTF">2021-03-23T14:55:00.0000000Z</dcterms:created>
  <dcterms:modified xsi:type="dcterms:W3CDTF">2024-01-23T17:12:10.6654330Z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SiteID">
    <vt:lpwstr>bda9c02e-d916-4203-b874-2f10e4d65dd7</vt:lpwstr>
  </property>
  <property fmtid="{D5CDD505-2E9C-101B-9397-08002B2CF9AE}" pid="4" name="SPWebID">
    <vt:lpwstr>f13f7df4-45fd-4a91-8c7a-72bf6defb2b5</vt:lpwstr>
  </property>
  <property fmtid="{D5CDD505-2E9C-101B-9397-08002B2CF9AE}" pid="5" name="SPListID">
    <vt:lpwstr>38e15abc-5b12-4d19-8351-40563e2920bf</vt:lpwstr>
  </property>
  <property fmtid="{D5CDD505-2E9C-101B-9397-08002B2CF9AE}" pid="6" name="SPServerURL">
    <vt:lpwstr>https://womble.qorusbreeze.com</vt:lpwstr>
  </property>
  <property fmtid="{D5CDD505-2E9C-101B-9397-08002B2CF9AE}" pid="7" name="Practice Area">
    <vt:lpwstr/>
  </property>
  <property fmtid="{D5CDD505-2E9C-101B-9397-08002B2CF9AE}" pid="8" name="Mansfield Qualified">
    <vt:lpwstr/>
  </property>
  <property fmtid="{D5CDD505-2E9C-101B-9397-08002B2CF9AE}" pid="9" name="Speciality Area">
    <vt:lpwstr/>
  </property>
  <property fmtid="{D5CDD505-2E9C-101B-9397-08002B2CF9AE}" pid="10" name="Advanced Qualifications">
    <vt:lpwstr/>
  </property>
  <property fmtid="{D5CDD505-2E9C-101B-9397-08002B2CF9AE}" pid="11" name="_ExtendedDescription">
    <vt:lpwstr/>
  </property>
  <property fmtid="{D5CDD505-2E9C-101B-9397-08002B2CF9AE}" pid="12" name="Languages">
    <vt:lpwstr/>
  </property>
  <property fmtid="{D5CDD505-2E9C-101B-9397-08002B2CF9AE}" pid="13" name="Sector">
    <vt:lpwstr/>
  </property>
  <property fmtid="{D5CDD505-2E9C-101B-9397-08002B2CF9AE}" pid="14" name="Locations">
    <vt:lpwstr/>
  </property>
  <property fmtid="{D5CDD505-2E9C-101B-9397-08002B2CF9AE}" pid="15" name="Admissions">
    <vt:lpwstr/>
  </property>
  <property fmtid="{D5CDD505-2E9C-101B-9397-08002B2CF9AE}" pid="16" name="GlobalExperience">
    <vt:lpwstr/>
  </property>
</Properties>
</file>