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03E4C50" w14:paraId="1EA55C1D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03E4C50" w:rsidRDefault="00E21CF4" w14:paraId="76FD00A3" w14:textId="77777777">
            <w:pPr>
              <w:pStyle w:val="WBDcontactInfo"/>
            </w:pPr>
            <w:r w:rsidRPr="00E21CF4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D5A0414" wp14:editId="415B5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9900" y="300"/>
                      <wp:lineTo x="7800" y="1800"/>
                      <wp:lineTo x="6300" y="3900"/>
                      <wp:lineTo x="6000" y="10500"/>
                      <wp:lineTo x="3000" y="15300"/>
                      <wp:lineTo x="1500" y="21300"/>
                      <wp:lineTo x="18600" y="21300"/>
                      <wp:lineTo x="20400" y="15300"/>
                      <wp:lineTo x="18600" y="13200"/>
                      <wp:lineTo x="15600" y="10500"/>
                      <wp:lineTo x="15600" y="4800"/>
                      <wp:lineTo x="13500" y="1800"/>
                      <wp:lineTo x="12000" y="300"/>
                      <wp:lineTo x="9900" y="300"/>
                    </wp:wrapPolygon>
                  </wp:wrapTight>
                  <wp:docPr id="1" name="Picture 1" descr="ammirati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mirati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E4C50" w:rsidRDefault="00E21CF4" w14:paraId="630E67CC" w14:textId="77777777">
            <w:pPr>
              <w:pStyle w:val="WBDName"/>
            </w:pPr>
            <w:r w:rsidRPr="00E21CF4">
              <w:t>Jennifer Erickson Ammirati</w:t>
            </w:r>
          </w:p>
          <w:p w:rsidRPr="006F588B" w:rsidR="001555DE" w:rsidP="003E4C50" w:rsidRDefault="00E21CF4" w14:paraId="3AB0DD3E" w14:textId="77777777">
            <w:pPr>
              <w:pStyle w:val="WBDBioTitle"/>
            </w:pPr>
            <w:r>
              <w:t>Partner</w:t>
            </w:r>
          </w:p>
          <w:p w:rsidRPr="006F588B" w:rsidR="001555DE" w:rsidP="003E4C50" w:rsidRDefault="001555DE" w14:paraId="2E246F16" w14:textId="77777777">
            <w:pPr>
              <w:pStyle w:val="WBDBioTitle"/>
            </w:pPr>
          </w:p>
          <w:p w:rsidR="00E21CF4" w:rsidP="003E4C50" w:rsidRDefault="00E21CF4" w14:paraId="46C6777B" w14:textId="77777777">
            <w:pPr>
              <w:pStyle w:val="WBDcontactInfo"/>
            </w:pPr>
            <w:r w:rsidRPr="00E21CF4">
              <w:t>Raleigh, NC, US</w:t>
            </w:r>
          </w:p>
          <w:p w:rsidRPr="006F588B" w:rsidR="001555DE" w:rsidP="003E4C50" w:rsidRDefault="001555DE" w14:paraId="46E29761" w14:textId="77777777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E21CF4" w:rsidR="00E21CF4">
              <w:t>919.755.8120</w:t>
            </w:r>
          </w:p>
          <w:p w:rsidRPr="006F588B" w:rsidR="001555DE" w:rsidP="003E4C50" w:rsidRDefault="001555DE" w14:paraId="7DD63B14" w14:textId="77777777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E21CF4" w:rsidR="00E21CF4">
              <w:t>jennifer.ammirati@wbd-us.com</w:t>
            </w:r>
          </w:p>
        </w:tc>
      </w:tr>
    </w:tbl>
    <w:p w:rsidRPr="00AE2186" w:rsidR="005B10C0" w:rsidP="005B10C0" w:rsidRDefault="005B10C0" w14:paraId="0B167DFA" w14:textId="3C3D4C7E">
      <w:pPr>
        <w:pStyle w:val="WBDBioHeadline"/>
      </w:pPr>
      <w:r w:rsidRPr="49C27EC8" w:rsidR="71F3BBBB">
        <w:rPr>
          <w:noProof/>
        </w:rPr>
        <w:t>Jennifer Erickson Ammirati</w:t>
      </w:r>
      <w:r w:rsidRPr="49C27EC8" w:rsidR="005B10C0">
        <w:rPr>
          <w:noProof/>
        </w:rPr>
        <w:t xml:space="preserve"> represents large and small companies in a variety of transactional matters, including investment fund work, securities law compliance, and general corporate matters. A significant portion of her practice includes formation and representation of private investment funds, representation of institutional investors with respect to investment transactions, and private placement securities transactions.</w:t>
      </w:r>
    </w:p>
    <w:p w:rsidRPr="00AE2186" w:rsidR="005B10C0" w:rsidP="005B10C0" w:rsidRDefault="005B10C0" w14:paraId="78EB9039" w14:textId="77777777">
      <w:pPr>
        <w:pStyle w:val="WBDBioText"/>
      </w:pPr>
      <w:r w:rsidRPr="00E21CF4">
        <w:rPr>
          <w:noProof/>
          <w:lang w:val="en-GB"/>
        </w:rPr>
        <w:t>Jenni has handled several transactions with an international component. She has represented institutional investors in connection with various investments in non-United States funds, and also has experience representing investment funds seeking capital from foreign investors as well as United States investors.</w:t>
      </w:r>
    </w:p>
    <w:p w:rsidR="005B10C0" w:rsidP="005B10C0" w:rsidRDefault="005B10C0" w14:paraId="0008C196" w14:textId="77777777">
      <w:pPr>
        <w:pStyle w:val="WBDBioHeading"/>
      </w:pPr>
      <w:r>
        <w:t xml:space="preserve">Representative </w:t>
      </w:r>
      <w:r w:rsidRPr="008604DE">
        <w:t>Experience</w:t>
      </w:r>
      <w:r>
        <w:t xml:space="preserve"> </w:t>
      </w:r>
    </w:p>
    <w:p w:rsidR="005B10C0" w:rsidP="005B10C0" w:rsidRDefault="005B10C0" w14:paraId="6AF75A1A" w14:textId="77777777">
      <w:pPr>
        <w:pStyle w:val="WBDDisclaimerText"/>
      </w:pPr>
      <w:r w:rsidRPr="001206DB">
        <w:t>Any result the lawyer or law firm may have achieved on behalf of clients in other matters does not necessarily indicate similar results can be obtained for other clients.</w:t>
      </w:r>
    </w:p>
    <w:p w:rsidR="005B10C0" w:rsidP="005B10C0" w:rsidRDefault="005B10C0" w14:paraId="2E4883A5" w14:textId="77777777">
      <w:pPr>
        <w:pStyle w:val="WBDBioBullet"/>
      </w:pPr>
      <w:r>
        <w:t>Representing a real estate fund in connection with the organization, offering of interests in, and operation of a fund with over $200 million in investor commitments from United States and foreign investors.</w:t>
      </w:r>
    </w:p>
    <w:p w:rsidR="005B10C0" w:rsidP="005B10C0" w:rsidRDefault="005B10C0" w14:paraId="2EEF1D4B" w14:textId="77777777">
      <w:pPr>
        <w:pStyle w:val="WBDBioBullet"/>
      </w:pPr>
      <w:r>
        <w:t>Representing a real estate fund in connection with the organization and operation of a $100 million separate account formed for a significant institutional investor.</w:t>
      </w:r>
    </w:p>
    <w:p w:rsidR="005B10C0" w:rsidP="005B10C0" w:rsidRDefault="005B10C0" w14:paraId="2643A39C" w14:textId="77777777">
      <w:pPr>
        <w:pStyle w:val="WBDBioBullet"/>
      </w:pPr>
      <w:r>
        <w:t>Representing a large institutional investor with respect to various investments in private equity, real estate, credit, and hedge funds totaling over $5 billion since 2014, including three customized real estate separate accounts totaling over $1 billion, and a customized $300 million separate account with an inflation-protection strategy.</w:t>
      </w:r>
    </w:p>
    <w:p w:rsidR="005B10C0" w:rsidP="005B10C0" w:rsidRDefault="005B10C0" w14:paraId="0BE85797" w14:textId="77777777">
      <w:pPr>
        <w:pStyle w:val="WBDBioBullet"/>
      </w:pPr>
      <w:r>
        <w:t>Representing a large institutional investor with respect to various investments in real estate, credit, and hedge funds totaling over $250 million since 2015.</w:t>
      </w:r>
    </w:p>
    <w:p w:rsidR="005B10C0" w:rsidP="005B10C0" w:rsidRDefault="005B10C0" w14:paraId="6B74ED02" w14:textId="77777777">
      <w:pPr>
        <w:pStyle w:val="WBDBioBullet"/>
      </w:pPr>
      <w:r>
        <w:t>Representing a fund of funds with respect to various private equity investments totaling over $60 million since 2014.</w:t>
      </w:r>
    </w:p>
    <w:p w:rsidRPr="008604DE" w:rsidR="005B10C0" w:rsidP="005B10C0" w:rsidRDefault="005B10C0" w14:paraId="7FB5458E" w14:textId="77777777">
      <w:pPr>
        <w:pStyle w:val="WBDBioHeading"/>
      </w:pPr>
      <w:r>
        <w:t xml:space="preserve">Thought Leadership </w:t>
      </w:r>
    </w:p>
    <w:p w:rsidR="005B10C0" w:rsidP="005B10C0" w:rsidRDefault="005B10C0" w14:paraId="683A6513" w14:textId="77777777">
      <w:pPr>
        <w:pStyle w:val="WBDBioBullet"/>
      </w:pPr>
      <w:r>
        <w:rPr>
          <w:lang w:val="en-GB"/>
        </w:rPr>
        <w:t>Co-Author, “</w:t>
      </w:r>
      <w:r w:rsidRPr="00E21CF4">
        <w:rPr>
          <w:lang w:val="en-GB"/>
        </w:rPr>
        <w:t>Empirical Study: When the Vow Breaks: An Analysis of the Impact of Intrinsic and Extrinsic Factors on Child Custody Resolution,</w:t>
      </w:r>
      <w:r>
        <w:rPr>
          <w:lang w:val="en-GB"/>
        </w:rPr>
        <w:t>”</w:t>
      </w:r>
      <w:r w:rsidRPr="00E21CF4">
        <w:rPr>
          <w:lang w:val="en-GB"/>
        </w:rPr>
        <w:t xml:space="preserve"> </w:t>
      </w:r>
      <w:r w:rsidRPr="006F058E">
        <w:rPr>
          <w:i/>
          <w:lang w:val="en-GB"/>
        </w:rPr>
        <w:t>41 Wake Forest L. Rev. 1297</w:t>
      </w:r>
      <w:r>
        <w:rPr>
          <w:lang w:val="en-GB"/>
        </w:rPr>
        <w:t>,</w:t>
      </w:r>
      <w:r w:rsidRPr="00E21CF4">
        <w:rPr>
          <w:lang w:val="en-GB"/>
        </w:rPr>
        <w:t xml:space="preserve"> 2006</w:t>
      </w:r>
    </w:p>
    <w:p w:rsidRPr="008604DE" w:rsidR="005B10C0" w:rsidP="005B10C0" w:rsidRDefault="005B10C0" w14:paraId="234479EC" w14:textId="77777777">
      <w:pPr>
        <w:pStyle w:val="WBDBioHeading"/>
      </w:pPr>
      <w:r w:rsidRPr="008604DE">
        <w:t>Honors &amp; Awards</w:t>
      </w:r>
      <w:r>
        <w:t xml:space="preserve"> </w:t>
      </w:r>
    </w:p>
    <w:p w:rsidR="005B10C0" w:rsidP="005B10C0" w:rsidRDefault="005B10C0" w14:paraId="15061B6B" w14:textId="40E63FDE">
      <w:pPr>
        <w:pStyle w:val="WBDBioBullet"/>
        <w:rPr/>
      </w:pPr>
      <w:r w:rsidRPr="49C27EC8" w:rsidR="005B10C0">
        <w:rPr>
          <w:i w:val="1"/>
          <w:iCs w:val="1"/>
          <w:lang w:val="en-GB"/>
        </w:rPr>
        <w:t>The Best Lawyers in America</w:t>
      </w:r>
      <w:r w:rsidRPr="49C27EC8" w:rsidR="005B10C0">
        <w:rPr>
          <w:lang w:val="en-GB"/>
        </w:rPr>
        <w:t> (BL Rankings), Corporate Law, 2021</w:t>
      </w:r>
    </w:p>
    <w:p w:rsidR="005B10C0" w:rsidP="005B10C0" w:rsidRDefault="005B10C0" w14:paraId="265692B1" w14:textId="77777777">
      <w:pPr>
        <w:pStyle w:val="WBDBioHeading"/>
      </w:pPr>
      <w:r>
        <w:t xml:space="preserve">Education </w:t>
      </w:r>
    </w:p>
    <w:p w:rsidR="005B10C0" w:rsidP="005B10C0" w:rsidRDefault="005B10C0" w14:paraId="62465A54" w14:textId="77777777">
      <w:pPr>
        <w:pStyle w:val="WBDEduBioBullet"/>
      </w:pPr>
      <w:r>
        <w:t>J.D., Wake Forest University School of Law</w:t>
      </w:r>
      <w:r w:rsidRPr="00E21CF4">
        <w:t>, 2007</w:t>
      </w:r>
    </w:p>
    <w:p w:rsidRPr="00E21CF4" w:rsidR="005B10C0" w:rsidP="005B10C0" w:rsidRDefault="005B10C0" w14:paraId="4004340A" w14:textId="77777777">
      <w:pPr>
        <w:pStyle w:val="WBDEduBioSubBullet"/>
        <w:rPr>
          <w:i/>
        </w:rPr>
      </w:pPr>
      <w:r w:rsidRPr="00E21CF4">
        <w:rPr>
          <w:i/>
        </w:rPr>
        <w:t>magna cum laude</w:t>
      </w:r>
    </w:p>
    <w:p w:rsidR="005B10C0" w:rsidP="005B10C0" w:rsidRDefault="005B10C0" w14:paraId="7C4D3035" w14:textId="77777777">
      <w:pPr>
        <w:pStyle w:val="WBDEduBioSubBullet"/>
      </w:pPr>
      <w:r>
        <w:t>Order of the Coif</w:t>
      </w:r>
    </w:p>
    <w:p w:rsidR="005B10C0" w:rsidP="005B10C0" w:rsidRDefault="005B10C0" w14:paraId="383F5385" w14:textId="77777777">
      <w:pPr>
        <w:pStyle w:val="WBDEduBioSubBullet"/>
      </w:pPr>
      <w:r w:rsidRPr="00E21CF4">
        <w:rPr>
          <w:i/>
        </w:rPr>
        <w:t>Wake Forest Law Review</w:t>
      </w:r>
      <w:r>
        <w:t>, 2005-2007; Articles Editor, 2006-2007</w:t>
      </w:r>
    </w:p>
    <w:p w:rsidR="005B10C0" w:rsidP="005B10C0" w:rsidRDefault="005B10C0" w14:paraId="7073EF4D" w14:textId="77777777">
      <w:pPr>
        <w:pStyle w:val="WBDEduBioSubBullet"/>
      </w:pPr>
      <w:r>
        <w:t>Phi Alpha Delta legal fraternity</w:t>
      </w:r>
    </w:p>
    <w:p w:rsidR="005B10C0" w:rsidP="005B10C0" w:rsidRDefault="005B10C0" w14:paraId="2AB062F2" w14:textId="77777777">
      <w:pPr>
        <w:pStyle w:val="WBDEduBioSubBullet"/>
      </w:pPr>
      <w:r>
        <w:t>Student Member, North Carolina Bar Association</w:t>
      </w:r>
    </w:p>
    <w:p w:rsidR="005B10C0" w:rsidP="005B10C0" w:rsidRDefault="005B10C0" w14:paraId="4BD0AF10" w14:textId="77777777">
      <w:pPr>
        <w:pStyle w:val="WBDEduBioBullet"/>
      </w:pPr>
      <w:r>
        <w:lastRenderedPageBreak/>
        <w:t>B.A., Roanoke College</w:t>
      </w:r>
      <w:r w:rsidRPr="00E21CF4">
        <w:t>, 2004</w:t>
      </w:r>
    </w:p>
    <w:p w:rsidRPr="00E21CF4" w:rsidR="005B10C0" w:rsidP="005B10C0" w:rsidRDefault="005B10C0" w14:paraId="1FD8C7CA" w14:textId="77777777">
      <w:pPr>
        <w:pStyle w:val="WBDEduBioSubBullet"/>
        <w:rPr>
          <w:i/>
        </w:rPr>
      </w:pPr>
      <w:r w:rsidRPr="00E21CF4">
        <w:rPr>
          <w:i/>
        </w:rPr>
        <w:t>summa cum laude</w:t>
      </w:r>
    </w:p>
    <w:p w:rsidR="005B10C0" w:rsidP="005B10C0" w:rsidRDefault="005B10C0" w14:paraId="5A755517" w14:textId="77777777">
      <w:pPr>
        <w:pStyle w:val="WBDEduBioSubBullet"/>
      </w:pPr>
      <w:r>
        <w:t>Member, Phi Beta Kappa Society</w:t>
      </w:r>
    </w:p>
    <w:p w:rsidR="005B10C0" w:rsidP="005B10C0" w:rsidRDefault="005B10C0" w14:paraId="624E42D9" w14:textId="77777777">
      <w:pPr>
        <w:pStyle w:val="WBDEduBioSubBullet"/>
      </w:pPr>
      <w:r>
        <w:t>Omicron Delta Kappa</w:t>
      </w:r>
    </w:p>
    <w:p w:rsidR="005B10C0" w:rsidP="005B10C0" w:rsidRDefault="005B10C0" w14:paraId="6F676375" w14:textId="77777777">
      <w:pPr>
        <w:pStyle w:val="WBDBioHeading"/>
      </w:pPr>
      <w:r>
        <w:t xml:space="preserve">Admitted to Practice </w:t>
      </w:r>
    </w:p>
    <w:p w:rsidR="005B10C0" w:rsidP="005B10C0" w:rsidRDefault="005B10C0" w14:paraId="6C5F7D88" w14:textId="77777777">
      <w:pPr>
        <w:pStyle w:val="WBDEduBioBullet"/>
      </w:pPr>
      <w:r>
        <w:t>North Carolina</w:t>
      </w:r>
    </w:p>
    <w:p w:rsidRPr="00E21CF4" w:rsidR="005B10C0" w:rsidP="005B10C0" w:rsidRDefault="005B10C0" w14:paraId="265FB854" w14:textId="77777777">
      <w:pPr>
        <w:pStyle w:val="WBDEduBioBullet"/>
      </w:pPr>
      <w:r w:rsidRPr="00E21CF4">
        <w:t>All North Carolina State Courts</w:t>
      </w:r>
    </w:p>
    <w:p w:rsidR="005B10C0" w:rsidP="005B10C0" w:rsidRDefault="005B10C0" w14:paraId="412F33F9" w14:textId="77777777">
      <w:pPr>
        <w:pStyle w:val="WBDBioHeading"/>
      </w:pPr>
      <w:r>
        <w:t xml:space="preserve">Related Services &amp; Sectors </w:t>
      </w:r>
    </w:p>
    <w:p w:rsidRPr="00B92015" w:rsidR="005B10C0" w:rsidP="005B10C0" w:rsidRDefault="005B10C0" w14:paraId="4AE9BFE8" w14:textId="77777777">
      <w:pPr>
        <w:pStyle w:val="WBDBioText"/>
        <w:rPr>
          <w:b/>
        </w:rPr>
      </w:pPr>
      <w:r w:rsidRPr="00B92015">
        <w:rPr>
          <w:b/>
        </w:rPr>
        <w:t>Services</w:t>
      </w:r>
    </w:p>
    <w:p w:rsidR="005B10C0" w:rsidP="005B10C0" w:rsidRDefault="005B10C0" w14:paraId="04740911" w14:textId="77777777">
      <w:pPr>
        <w:pStyle w:val="WBDBioText"/>
      </w:pPr>
      <w:r>
        <w:t xml:space="preserve">Corporate; Opportunity Zones; Private Equity </w:t>
      </w:r>
    </w:p>
    <w:p w:rsidRPr="00B92015" w:rsidR="005B10C0" w:rsidP="005B10C0" w:rsidRDefault="005B10C0" w14:paraId="728C8639" w14:textId="77777777">
      <w:pPr>
        <w:pStyle w:val="WBDBioText"/>
        <w:rPr>
          <w:b/>
        </w:rPr>
      </w:pPr>
      <w:r w:rsidRPr="00B92015">
        <w:rPr>
          <w:b/>
        </w:rPr>
        <w:t>Sectors</w:t>
      </w:r>
    </w:p>
    <w:p w:rsidRPr="00E21CF4" w:rsidR="00E21CF4" w:rsidP="005B10C0" w:rsidRDefault="005B10C0" w14:paraId="6415EFFD" w14:textId="140629A1">
      <w:pPr>
        <w:pStyle w:val="WBDBioText"/>
      </w:pPr>
      <w:r>
        <w:t>Investment Funds</w:t>
      </w:r>
      <w:bookmarkStart w:name="_GoBack" w:id="0"/>
      <w:bookmarkEnd w:id="0"/>
    </w:p>
    <w:p w:rsidR="00C6638D" w:rsidP="009C4F2E" w:rsidRDefault="00C6638D" w14:paraId="38A4A510" w14:textId="77777777">
      <w:pPr>
        <w:pStyle w:val="WBDBioText"/>
      </w:pPr>
    </w:p>
    <w:p w:rsidR="00AE2186" w:rsidP="00AE2186" w:rsidRDefault="00AE2186" w14:paraId="1F5D1CB9" w14:textId="77777777">
      <w:pPr>
        <w:pStyle w:val="WBDMainBodyBullets"/>
        <w:tabs>
          <w:tab w:val="left" w:pos="7499"/>
        </w:tabs>
        <w:spacing w:after="160" w:line="240" w:lineRule="atLeast"/>
        <w:jc w:val="both"/>
      </w:pPr>
    </w:p>
    <w:p w:rsidRPr="009C4F2E" w:rsidR="00AE2186" w:rsidP="009C4F2E" w:rsidRDefault="00AE2186" w14:paraId="5223AABD" w14:textId="77777777">
      <w:pPr>
        <w:pStyle w:val="WBDBioText"/>
      </w:pPr>
    </w:p>
    <w:sectPr w:rsidRPr="009C4F2E" w:rsidR="00AE2186" w:rsidSect="00D405A6"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54" w:rsidP="009A2A16" w:rsidRDefault="00A65C54" w14:paraId="2DD645EA" w14:textId="77777777">
      <w:pPr>
        <w:spacing w:after="0" w:line="240" w:lineRule="auto"/>
      </w:pPr>
      <w:r>
        <w:separator/>
      </w:r>
    </w:p>
  </w:endnote>
  <w:endnote w:type="continuationSeparator" w:id="0">
    <w:p w:rsidR="00A65C54" w:rsidP="009A2A16" w:rsidRDefault="00A65C54" w14:paraId="41FFDF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54" w:rsidP="009A2A16" w:rsidRDefault="00A65C54" w14:paraId="4D323600" w14:textId="77777777">
      <w:pPr>
        <w:spacing w:after="0" w:line="240" w:lineRule="auto"/>
      </w:pPr>
      <w:r>
        <w:separator/>
      </w:r>
    </w:p>
  </w:footnote>
  <w:footnote w:type="continuationSeparator" w:id="0">
    <w:p w:rsidR="00A65C54" w:rsidP="009A2A16" w:rsidRDefault="00A65C54" w14:paraId="4E3032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67911"/>
    <w:multiLevelType w:val="multilevel"/>
    <w:tmpl w:val="76421EEC"/>
    <w:numStyleLink w:val="NumbLstBullet"/>
  </w:abstractNum>
  <w:abstractNum w:abstractNumId="11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E209F5"/>
    <w:multiLevelType w:val="multilevel"/>
    <w:tmpl w:val="80FE2546"/>
    <w:numStyleLink w:val="NumbLstMain"/>
  </w:abstractNum>
  <w:abstractNum w:abstractNumId="13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8" w15:restartNumberingAfterBreak="0">
    <w:nsid w:val="37FC6B69"/>
    <w:multiLevelType w:val="hybridMultilevel"/>
    <w:tmpl w:val="6EDA24A4"/>
    <w:lvl w:ilvl="0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B659B7"/>
    <w:multiLevelType w:val="multilevel"/>
    <w:tmpl w:val="5656B1C6"/>
    <w:numStyleLink w:val="NumbLstTableBullet"/>
  </w:abstractNum>
  <w:abstractNum w:abstractNumId="20" w15:restartNumberingAfterBreak="0">
    <w:nsid w:val="396526B4"/>
    <w:multiLevelType w:val="multilevel"/>
    <w:tmpl w:val="76421EEC"/>
    <w:numStyleLink w:val="NumbLstBullet"/>
  </w:abstractNum>
  <w:abstractNum w:abstractNumId="21" w15:restartNumberingAfterBreak="0">
    <w:nsid w:val="3F114214"/>
    <w:multiLevelType w:val="multilevel"/>
    <w:tmpl w:val="5656B1C6"/>
    <w:numStyleLink w:val="NumbLstTableBullet"/>
  </w:abstractNum>
  <w:abstractNum w:abstractNumId="22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F037378"/>
    <w:multiLevelType w:val="multilevel"/>
    <w:tmpl w:val="2D64C6E4"/>
    <w:numStyleLink w:val="BulletLeft"/>
  </w:abstractNum>
  <w:abstractNum w:abstractNumId="26" w15:restartNumberingAfterBreak="0">
    <w:nsid w:val="55A0350A"/>
    <w:multiLevelType w:val="multilevel"/>
    <w:tmpl w:val="2D64C6E4"/>
    <w:numStyleLink w:val="BulletLeft"/>
  </w:abstractNum>
  <w:abstractNum w:abstractNumId="27" w15:restartNumberingAfterBreak="0">
    <w:nsid w:val="5A6E7964"/>
    <w:multiLevelType w:val="multilevel"/>
    <w:tmpl w:val="76421EEC"/>
    <w:numStyleLink w:val="NumbLstBullet"/>
  </w:abstractNum>
  <w:abstractNum w:abstractNumId="28" w15:restartNumberingAfterBreak="0">
    <w:nsid w:val="60A13E99"/>
    <w:multiLevelType w:val="multilevel"/>
    <w:tmpl w:val="80FE2546"/>
    <w:numStyleLink w:val="NumbLstMain"/>
  </w:abstractNum>
  <w:abstractNum w:abstractNumId="29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6F124E"/>
    <w:multiLevelType w:val="multilevel"/>
    <w:tmpl w:val="F112E4FA"/>
    <w:numStyleLink w:val="NumbLstNumbers"/>
  </w:abstractNum>
  <w:abstractNum w:abstractNumId="31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2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21"/>
  </w:num>
  <w:num w:numId="25">
    <w:abstractNumId w:val="19"/>
  </w:num>
  <w:num w:numId="26">
    <w:abstractNumId w:val="13"/>
  </w:num>
  <w:num w:numId="27">
    <w:abstractNumId w:val="15"/>
  </w:num>
  <w:num w:numId="28">
    <w:abstractNumId w:val="25"/>
  </w:num>
  <w:num w:numId="29">
    <w:abstractNumId w:val="26"/>
  </w:num>
  <w:num w:numId="30">
    <w:abstractNumId w:val="29"/>
  </w:num>
  <w:num w:numId="31">
    <w:abstractNumId w:val="32"/>
  </w:num>
  <w:num w:numId="32">
    <w:abstractNumId w:val="24"/>
  </w:num>
  <w:num w:numId="33">
    <w:abstractNumId w:val="12"/>
  </w:num>
  <w:num w:numId="34">
    <w:abstractNumId w:val="18"/>
  </w:num>
  <w:num w:numId="35">
    <w:abstractNumId w:val="16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30B8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2F6B"/>
    <w:rsid w:val="00084C78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06DB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B246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10C0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5771"/>
    <w:rsid w:val="00637CAA"/>
    <w:rsid w:val="0064078F"/>
    <w:rsid w:val="00641E87"/>
    <w:rsid w:val="006434EF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6D01"/>
    <w:rsid w:val="00746D37"/>
    <w:rsid w:val="0075258B"/>
    <w:rsid w:val="007541A2"/>
    <w:rsid w:val="0075527B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0A82"/>
    <w:rsid w:val="007A2D80"/>
    <w:rsid w:val="007A344F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0DDC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45D4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5C54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7290"/>
    <w:rsid w:val="00AE2186"/>
    <w:rsid w:val="00AE439E"/>
    <w:rsid w:val="00AE5BAE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75D8"/>
    <w:rsid w:val="00B81F3D"/>
    <w:rsid w:val="00B85900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D014C2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1CF4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D1BAC"/>
    <w:rsid w:val="00ED476D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D7B2C"/>
    <w:rsid w:val="00FE5EF9"/>
    <w:rsid w:val="00FF1F23"/>
    <w:rsid w:val="025A607B"/>
    <w:rsid w:val="49C27EC8"/>
    <w:rsid w:val="71F3B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5F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8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8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7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styleId="NumbLstNumbers" w:customStyle="1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styleId="NumbLstMain" w:customStyle="1">
    <w:name w:val="NumbLstMain"/>
    <w:uiPriority w:val="99"/>
    <w:rsid w:val="004B0E2D"/>
    <w:pPr>
      <w:numPr>
        <w:numId w:val="20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23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27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semiHidden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12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Raleigh</TermName>
          <TermId xmlns="http://schemas.microsoft.com/office/infopath/2007/PartnerControls">7e0d55da-f163-40a4-aa26-3ee668ea5060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Yes</TermName>
          <TermId xmlns="http://schemas.microsoft.com/office/infopath/2007/PartnerControls">204783cf-500d-4616-9612-aece0b37f813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</TermName>
          <TermId xmlns="http://schemas.microsoft.com/office/infopath/2007/PartnerControls">6c7e84cf-1939-4659-b1c0-396af0fa85eb</TermId>
        </TermInfo>
      </Terms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13</Value>
      <Value>18</Value>
      <Value>11</Value>
      <Value>1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C＆S: Corporate ＆ Securities</TermName>
          <TermId xmlns="http://schemas.microsoft.com/office/infopath/2007/PartnerControls">b6b29447-1d03-41c8-8f08-313fcbe6757c</TermId>
        </TermInfo>
      </Terms>
    </d8539c1894d843a1a6aa9dd63c33df2e>
    <ba570f317bd44ee1a6e9a3ee949bf26f xmlns="5c3fb01a-b39e-4e51-b0ca-c6db1c8eaf1f">
      <Terms xmlns="http://schemas.microsoft.com/office/infopath/2007/PartnerControls"/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/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2.xml><?xml version="1.0" encoding="utf-8"?>
<QorusTemplate xmlns:xsd="http://www.w3.org/2001/XMLSchema" xmlns:xsi="http://www.w3.org/2001/XMLSchema-instance">
  <TemplateName>Ammirati, Jennifer.docx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fe6165b0-e0ae-4115-ad54-03671b734fba</UniqueID>
  <PermissionsEnabled>false</PermissionsEnabled>
  <Permissions/>
  <ContentDefinition/>
  <PropertiesDefinition>
    <MergedTemplateName>Ammirati, Jennifer.docx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2" ma:contentTypeDescription="Create a new document." ma:contentTypeScope="" ma:versionID="698cbb3b5f7133cfa2eef5b90a367e0f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be54404a8844bcdb09eff11ac711f31e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55636-2324-4964-8B7F-0B6120D40A3B}">
  <ds:schemaRefs>
    <ds:schemaRef ds:uri="500c2e68-7f34-4609-bf88-5ea8687789f3"/>
    <ds:schemaRef ds:uri="http://purl.org/dc/terms/"/>
    <ds:schemaRef ds:uri="http://schemas.microsoft.com/office/infopath/2007/PartnerControls"/>
    <ds:schemaRef ds:uri="http://schemas.microsoft.com/office/2006/documentManagement/types"/>
    <ds:schemaRef ds:uri="f13f7df4-45fd-4a91-8c7a-72bf6defb2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9985F-4138-4D03-8B2E-6634126316F4}">
  <ds:schemaRefs/>
</ds:datastoreItem>
</file>

<file path=customXml/itemProps3.xml><?xml version="1.0" encoding="utf-8"?>
<ds:datastoreItem xmlns:ds="http://schemas.openxmlformats.org/officeDocument/2006/customXml" ds:itemID="{A1EEC0D3-D8C4-41E5-A39D-9438A8476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5F333-FDE7-4F74-85A6-E2E55AE1AA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Ammirati, Jennifer_FULL</dc:title>
  <dc:subject/>
  <dc:creator/>
  <cp:keywords/>
  <cp:lastModifiedBy>Brown, Kiara</cp:lastModifiedBy>
  <cp:revision>2</cp:revision>
  <dcterms:created xsi:type="dcterms:W3CDTF">2021-03-23T14:32:00Z</dcterms:created>
  <dcterms:modified xsi:type="dcterms:W3CDTF">2023-12-04T20:25:30Z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</vt:r8>
  </property>
  <property fmtid="{D5CDD505-2E9C-101B-9397-08002B2CF9AE}" pid="3" name="WorkflowChangePath">
    <vt:lpwstr>04efad63-24d3-4722-9909-43fc89237b15,64;04efad63-24d3-4722-9909-43fc89237b15,64;04efad63-24d3-4722-9909-43fc89237b15,64;5f3cf35b-08ea-4eda-a3ae-4f77c55de804,4;5f3cf35b-08ea-4eda-a3ae-4f77c55de804,4;5f3cf35b-08ea-4eda-a3ae-4f77c55de804,4;5f3cf35b-08ea-4eda5f3cf35b-08ea-4eda-a3ae-4f77c55de804,31;5f3cf35b-08ea-4eda-a3ae-4f77c55de804,33;5f3cf35b-08ea-4eda-a3ae-4f77c55de804,33;5f3cf35b-08ea-4eda-a3ae-4f77c55de804,33;</vt:lpwstr>
  </property>
  <property fmtid="{D5CDD505-2E9C-101B-9397-08002B2CF9AE}" pid="4" name="Locations0">
    <vt:lpwstr>13;#Raleigh</vt:lpwstr>
  </property>
  <property fmtid="{D5CDD505-2E9C-101B-9397-08002B2CF9AE}" pid="5" name="SPSiteID">
    <vt:lpwstr>bda9c02e-d916-4203-b874-2f10e4d65dd7</vt:lpwstr>
  </property>
  <property fmtid="{D5CDD505-2E9C-101B-9397-08002B2CF9AE}" pid="6" name="SPWebID">
    <vt:lpwstr>f13f7df4-45fd-4a91-8c7a-72bf6defb2b5</vt:lpwstr>
  </property>
  <property fmtid="{D5CDD505-2E9C-101B-9397-08002B2CF9AE}" pid="7" name="SPListID">
    <vt:lpwstr>38e15abc-5b12-4d19-8351-40563e2920bf</vt:lpwstr>
  </property>
  <property fmtid="{D5CDD505-2E9C-101B-9397-08002B2CF9AE}" pid="8" name="SPServerURL">
    <vt:lpwstr>https://womble.qorusbreeze.com</vt:lpwstr>
  </property>
  <property fmtid="{D5CDD505-2E9C-101B-9397-08002B2CF9AE}" pid="9" name="ContentTypeId">
    <vt:lpwstr>0x010100C7C9C8D94B54FB4BADD71D948702D6BC</vt:lpwstr>
  </property>
  <property fmtid="{D5CDD505-2E9C-101B-9397-08002B2CF9AE}" pid="10" name="Practice Area">
    <vt:lpwstr>1;#C＆S: Corporate ＆ Securities|b6b29447-1d03-41c8-8f08-313fcbe6757c</vt:lpwstr>
  </property>
  <property fmtid="{D5CDD505-2E9C-101B-9397-08002B2CF9AE}" pid="11" name="Mansfield Qualified">
    <vt:lpwstr>11;#Yes|204783cf-500d-4616-9612-aece0b37f813</vt:lpwstr>
  </property>
  <property fmtid="{D5CDD505-2E9C-101B-9397-08002B2CF9AE}" pid="12" name="Speciality Area">
    <vt:lpwstr>21;#Investment Funds|682967b8-54c3-45bb-bbd7-f2733d99337f</vt:lpwstr>
  </property>
  <property fmtid="{D5CDD505-2E9C-101B-9397-08002B2CF9AE}" pid="13" name="Advanced Qualifications">
    <vt:lpwstr/>
  </property>
  <property fmtid="{D5CDD505-2E9C-101B-9397-08002B2CF9AE}" pid="14" name="_ExtendedDescription">
    <vt:lpwstr/>
  </property>
  <property fmtid="{D5CDD505-2E9C-101B-9397-08002B2CF9AE}" pid="15" name="Languages">
    <vt:lpwstr/>
  </property>
  <property fmtid="{D5CDD505-2E9C-101B-9397-08002B2CF9AE}" pid="16" name="Sector">
    <vt:lpwstr/>
  </property>
  <property fmtid="{D5CDD505-2E9C-101B-9397-08002B2CF9AE}" pid="17" name="Locations">
    <vt:lpwstr>18;#Raleigh|7e0d55da-f163-40a4-aa26-3ee668ea5060</vt:lpwstr>
  </property>
  <property fmtid="{D5CDD505-2E9C-101B-9397-08002B2CF9AE}" pid="18" name="Admissions">
    <vt:lpwstr>13;#NC|6c7e84cf-1939-4659-b1c0-396af0fa85eb</vt:lpwstr>
  </property>
  <property fmtid="{D5CDD505-2E9C-101B-9397-08002B2CF9AE}" pid="19" name="oac9ab4fe517443284790fbd53c3ab53">
    <vt:lpwstr>Investment Funds|682967b8-54c3-45bb-bbd7-f2733d99337f</vt:lpwstr>
  </property>
  <property fmtid="{D5CDD505-2E9C-101B-9397-08002B2CF9AE}" pid="20" name="GlobalExperience">
    <vt:lpwstr/>
  </property>
</Properties>
</file>