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9354E" w:rsidTr="00CC20CD" w14:paraId="5110B83A"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9354E" w:rsidP="00CC20CD" w:rsidRDefault="0019354E" w14:paraId="6740467E" w14:textId="77777777">
            <w:pPr>
              <w:pStyle w:val="WBDcontactInfo"/>
            </w:pPr>
            <w:r w:rsidRPr="006F2174">
              <w:rPr>
                <w:noProof/>
              </w:rPr>
              <w:drawing>
                <wp:anchor distT="0" distB="0" distL="114300" distR="114300" simplePos="0" relativeHeight="251659264" behindDoc="1" locked="0" layoutInCell="1" allowOverlap="1" wp14:anchorId="2BDBF63A" wp14:editId="3081CD43">
                  <wp:simplePos x="0" y="0"/>
                  <wp:positionH relativeFrom="column">
                    <wp:posOffset>0</wp:posOffset>
                  </wp:positionH>
                  <wp:positionV relativeFrom="paragraph">
                    <wp:posOffset>387</wp:posOffset>
                  </wp:positionV>
                  <wp:extent cx="1371600" cy="1371600"/>
                  <wp:effectExtent l="0" t="0" r="0" b="0"/>
                  <wp:wrapTight wrapText="bothSides">
                    <wp:wrapPolygon edited="0">
                      <wp:start x="10800" y="300"/>
                      <wp:lineTo x="9300" y="1200"/>
                      <wp:lineTo x="6900" y="4200"/>
                      <wp:lineTo x="6600" y="10500"/>
                      <wp:lineTo x="4800" y="12600"/>
                      <wp:lineTo x="3000" y="15300"/>
                      <wp:lineTo x="1800" y="20100"/>
                      <wp:lineTo x="600" y="21300"/>
                      <wp:lineTo x="20100" y="21300"/>
                      <wp:lineTo x="17100" y="10500"/>
                      <wp:lineTo x="16500" y="4500"/>
                      <wp:lineTo x="14100" y="1200"/>
                      <wp:lineTo x="12900" y="300"/>
                      <wp:lineTo x="10800" y="300"/>
                    </wp:wrapPolygon>
                  </wp:wrapTight>
                  <wp:docPr id="1" name="Picture 1" descr="Taber Cath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r Cathc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9354E" w:rsidP="00CC20CD" w:rsidRDefault="0019354E" w14:paraId="27DD4B42" w14:textId="77777777">
            <w:pPr>
              <w:pStyle w:val="WBDName"/>
            </w:pPr>
            <w:r w:rsidRPr="006F2174">
              <w:t xml:space="preserve">B. Taber </w:t>
            </w:r>
            <w:proofErr w:type="spellStart"/>
            <w:r w:rsidRPr="006F2174">
              <w:t>Cathcart</w:t>
            </w:r>
            <w:proofErr w:type="spellEnd"/>
          </w:p>
          <w:p w:rsidRPr="006F588B" w:rsidR="0019354E" w:rsidP="00CC20CD" w:rsidRDefault="0019354E" w14:paraId="6F9CE3A3" w14:textId="77777777">
            <w:pPr>
              <w:pStyle w:val="WBDBioTitle"/>
            </w:pPr>
            <w:r>
              <w:t>Partner</w:t>
            </w:r>
          </w:p>
          <w:p w:rsidRPr="006F588B" w:rsidR="0019354E" w:rsidP="00CC20CD" w:rsidRDefault="0019354E" w14:paraId="70D5DB0C" w14:textId="77777777">
            <w:pPr>
              <w:pStyle w:val="WBDBioTitle"/>
            </w:pPr>
          </w:p>
          <w:p w:rsidR="0019354E" w:rsidP="00CC20CD" w:rsidRDefault="0019354E" w14:paraId="57415EDC" w14:textId="77777777">
            <w:pPr>
              <w:pStyle w:val="WBDcontactInfo"/>
            </w:pPr>
            <w:r w:rsidRPr="006F2174">
              <w:t>Charlotte, NC, US</w:t>
            </w:r>
          </w:p>
          <w:p w:rsidRPr="006F588B" w:rsidR="0019354E" w:rsidP="00CC20CD" w:rsidRDefault="0019354E" w14:paraId="01E0EF5F" w14:textId="77777777">
            <w:pPr>
              <w:pStyle w:val="WBDcontactInfo"/>
            </w:pPr>
            <w:r w:rsidRPr="006F588B">
              <w:t>t:</w:t>
            </w:r>
            <w:r>
              <w:rPr>
                <w:noProof/>
              </w:rPr>
              <w:t xml:space="preserve"> </w:t>
            </w:r>
            <w:r>
              <w:rPr>
                <w:noProof/>
              </w:rPr>
              <w:tab/>
            </w:r>
            <w:r w:rsidRPr="006F2174">
              <w:t>704.350.6346</w:t>
            </w:r>
          </w:p>
          <w:p w:rsidRPr="006F588B" w:rsidR="0019354E" w:rsidP="00CC20CD" w:rsidRDefault="0019354E" w14:paraId="2D4BD3FF" w14:textId="77777777">
            <w:pPr>
              <w:pStyle w:val="WBDcontactInfo"/>
              <w:rPr>
                <w:b/>
              </w:rPr>
            </w:pPr>
            <w:r w:rsidRPr="006F588B">
              <w:t>e:</w:t>
            </w:r>
            <w:r>
              <w:rPr>
                <w:noProof/>
              </w:rPr>
              <w:t xml:space="preserve"> </w:t>
            </w:r>
            <w:r>
              <w:rPr>
                <w:noProof/>
              </w:rPr>
              <w:tab/>
            </w:r>
            <w:r w:rsidRPr="006F2174">
              <w:t>taber.cathcart@wbd-us.com</w:t>
            </w:r>
          </w:p>
        </w:tc>
      </w:tr>
    </w:tbl>
    <w:p w:rsidRPr="00AE2186" w:rsidR="0019354E" w:rsidP="0019354E" w:rsidRDefault="0019354E" w14:paraId="09786AB5" w14:textId="32A3CA92">
      <w:pPr>
        <w:pStyle w:val="WBDBioHeadline"/>
      </w:pPr>
      <w:r w:rsidRPr="0019354E">
        <w:rPr>
          <w:noProof/>
        </w:rPr>
        <w:t>Taber Cathcart serves as the Firm’s Capital Markets Practice Group Leader and Co-Leader of the Financial Services Sector Team. She focuses her practice on diversified financial transactions, concentrating on senior and subordinated debt transactions, including acquisition finance, real estate lending, and syndicated credit facilities.</w:t>
      </w:r>
    </w:p>
    <w:p w:rsidR="0019354E" w:rsidP="0019354E" w:rsidRDefault="0019354E" w14:paraId="6BA248DD" w14:textId="77777777">
      <w:pPr>
        <w:pStyle w:val="WBDBioText"/>
        <w:rPr>
          <w:noProof/>
          <w:lang w:val="en-GB"/>
        </w:rPr>
      </w:pPr>
      <w:r w:rsidRPr="006F2174">
        <w:rPr>
          <w:noProof/>
          <w:lang w:val="en-GB"/>
        </w:rPr>
        <w:t>Taber has a broad range of experience representing financial institutions, investment firms and institutional investors in a variety of roles, including as agent banks, arrangers, underwriters and lead senior and or mezzanine debt providers, whether by way of secured or unsecured syndicated credit facilities, club deals, single-lender transactions or loan workouts and restructurings. As a trusted legal and business advisor to these financial institutions, she also plays an active role as thought leader for the Firm’s LIBOR Transition Team.</w:t>
      </w:r>
    </w:p>
    <w:p w:rsidRPr="00241FCD" w:rsidR="0019354E" w:rsidP="0019354E" w:rsidRDefault="0019354E" w14:paraId="4BD23F72" w14:textId="77777777">
      <w:pPr>
        <w:rPr>
          <w:rFonts w:cs="Arial"/>
          <w:noProof/>
          <w:color w:val="53555C"/>
        </w:rPr>
      </w:pPr>
      <w:r w:rsidRPr="00241FCD">
        <w:rPr>
          <w:rFonts w:cs="Arial"/>
          <w:noProof/>
          <w:color w:val="53555C"/>
        </w:rPr>
        <w:t>In the community, Taber devotes a significant amount of time towards developing and advancing the arts and volunteering for non-profits in the Charlotte region. She is Past Chair of Child Care Resources, Inc., and is a previous Board Member of both Charlotte Ballet and Leadership Charlotte. In recognition of her leadership, the Charlotte Business Journal honored Taber as a 2020 Women in Business Achievement Award winner.</w:t>
      </w:r>
    </w:p>
    <w:p w:rsidRPr="00AE2186" w:rsidR="0019354E" w:rsidP="0019354E" w:rsidRDefault="0019354E" w14:paraId="5BD8C750" w14:textId="77777777">
      <w:pPr>
        <w:pStyle w:val="WBDBioText"/>
      </w:pPr>
      <w:r w:rsidRPr="006F2174">
        <w:rPr>
          <w:noProof/>
          <w:lang w:val="en-GB"/>
        </w:rPr>
        <w:t>Prior to law school, Taber had a decade-long career as a professional ballet dancer.</w:t>
      </w:r>
    </w:p>
    <w:p w:rsidR="0019354E" w:rsidP="0019354E" w:rsidRDefault="0019354E" w14:paraId="26632C2B" w14:textId="77777777">
      <w:pPr>
        <w:pStyle w:val="WBDBioHeading"/>
      </w:pPr>
      <w:r>
        <w:t xml:space="preserve">Professional &amp; Civic Engagement </w:t>
      </w:r>
    </w:p>
    <w:p w:rsidR="0019354E" w:rsidP="0019354E" w:rsidRDefault="0019354E" w14:paraId="45A23ADF" w14:textId="77777777">
      <w:pPr>
        <w:pStyle w:val="WBDBioBullet"/>
      </w:pPr>
      <w:r>
        <w:t>Association of Corporate Growth</w:t>
      </w:r>
    </w:p>
    <w:p w:rsidR="0019354E" w:rsidP="0019354E" w:rsidRDefault="0019354E" w14:paraId="7BB96143" w14:textId="77777777">
      <w:pPr>
        <w:pStyle w:val="WBDBioBullet"/>
      </w:pPr>
      <w:r>
        <w:t>American Bar Association</w:t>
      </w:r>
    </w:p>
    <w:p w:rsidR="0019354E" w:rsidP="0019354E" w:rsidRDefault="0019354E" w14:paraId="11D548E5" w14:textId="77777777">
      <w:pPr>
        <w:pStyle w:val="WBDBioBullet"/>
      </w:pPr>
      <w:r>
        <w:t>North Carolina Bar Association</w:t>
      </w:r>
    </w:p>
    <w:p w:rsidR="0019354E" w:rsidP="0019354E" w:rsidRDefault="0019354E" w14:paraId="3E5A2EEA" w14:textId="77777777">
      <w:pPr>
        <w:pStyle w:val="WBDBioBullet"/>
      </w:pPr>
      <w:r>
        <w:t>Charlotte Ballet, Chair-Elect for the Board of Trustees</w:t>
      </w:r>
    </w:p>
    <w:p w:rsidR="0019354E" w:rsidP="0019354E" w:rsidRDefault="0019354E" w14:paraId="24C6A9EA" w14:textId="77777777">
      <w:pPr>
        <w:pStyle w:val="WBDBioBullet"/>
      </w:pPr>
      <w:r>
        <w:t>Child Care Resources, Inc., Immediate Past Chair</w:t>
      </w:r>
    </w:p>
    <w:p w:rsidR="0019354E" w:rsidP="0019354E" w:rsidRDefault="0019354E" w14:paraId="747146DA" w14:textId="77777777">
      <w:pPr>
        <w:pStyle w:val="WBDBioBullet"/>
      </w:pPr>
      <w:r>
        <w:t>Leadership Charlotte, Past Board Member</w:t>
      </w:r>
    </w:p>
    <w:p w:rsidRPr="008604DE" w:rsidR="0019354E" w:rsidP="0019354E" w:rsidRDefault="0019354E" w14:paraId="38B81906" w14:textId="77777777">
      <w:pPr>
        <w:pStyle w:val="WBDBioHeading"/>
      </w:pPr>
      <w:r>
        <w:t xml:space="preserve">Thought Leadership </w:t>
      </w:r>
    </w:p>
    <w:p w:rsidRPr="00760A4B" w:rsidR="0019354E" w:rsidP="603A72A7" w:rsidRDefault="0019354E" w14:paraId="09A4D087" w14:textId="503EA20E">
      <w:pPr>
        <w:pStyle w:val="WBDBioBullet"/>
        <w:numPr>
          <w:ilvl w:val="0"/>
          <w:numId w:val="0"/>
        </w:numPr>
        <w:rPr/>
      </w:pPr>
      <w:r w:rsidRPr="603A72A7" w:rsidR="62662533">
        <w:rPr>
          <w:i w:val="0"/>
          <w:iCs w:val="0"/>
          <w:u w:val="none"/>
        </w:rPr>
        <w:t>“</w:t>
      </w:r>
      <w:hyperlink r:id="R0a04453386fa459e">
        <w:r w:rsidRPr="603A72A7" w:rsidR="0019354E">
          <w:rPr>
            <w:rStyle w:val="Hyperlink"/>
            <w:i w:val="0"/>
            <w:iCs w:val="0"/>
            <w:u w:val="none"/>
          </w:rPr>
          <w:t>Using Special Purpose Credit Programs to Counteract Economic Disparity</w:t>
        </w:r>
        <w:r w:rsidRPr="603A72A7" w:rsidR="6E72D73A">
          <w:rPr>
            <w:rStyle w:val="Hyperlink"/>
            <w:i w:val="0"/>
            <w:iCs w:val="0"/>
            <w:u w:val="none"/>
          </w:rPr>
          <w:t>”</w:t>
        </w:r>
      </w:hyperlink>
      <w:r w:rsidRPr="603A72A7" w:rsidR="0019354E">
        <w:rPr>
          <w:i w:val="0"/>
          <w:iCs w:val="0"/>
        </w:rPr>
        <w:t>,</w:t>
      </w:r>
      <w:r w:rsidR="0019354E">
        <w:rPr/>
        <w:t xml:space="preserve"> </w:t>
      </w:r>
      <w:r w:rsidRPr="603A72A7" w:rsidR="0019354E">
        <w:rPr>
          <w:i w:val="1"/>
          <w:iCs w:val="1"/>
        </w:rPr>
        <w:t>Bloomberg Law</w:t>
      </w:r>
      <w:r w:rsidR="0019354E">
        <w:rPr/>
        <w:t>, September 2021</w:t>
      </w:r>
    </w:p>
    <w:p w:rsidR="0019354E" w:rsidP="603A72A7" w:rsidRDefault="0019354E" w14:paraId="12E07A40" w14:textId="458D37A7">
      <w:pPr>
        <w:pStyle w:val="WBDBioBullet"/>
        <w:numPr>
          <w:ilvl w:val="0"/>
          <w:numId w:val="0"/>
        </w:numPr>
        <w:rPr>
          <w:rFonts w:ascii="Calibri" w:hAnsi="Calibri"/>
          <w:color w:val="auto"/>
        </w:rPr>
      </w:pPr>
      <w:r w:rsidRPr="603A72A7" w:rsidR="67D021BC">
        <w:rPr>
          <w:rStyle w:val="Hyperlink"/>
          <w:i w:val="0"/>
          <w:iCs w:val="0"/>
          <w:color w:val="0000FF"/>
          <w:u w:val="none"/>
        </w:rPr>
        <w:t>“</w:t>
      </w:r>
      <w:hyperlink r:id="R1d1b0b4c769c493f">
        <w:r w:rsidRPr="603A72A7" w:rsidR="0019354E">
          <w:rPr>
            <w:rStyle w:val="Hyperlink"/>
            <w:i w:val="0"/>
            <w:iCs w:val="0"/>
            <w:color w:val="0000FF"/>
            <w:u w:val="none"/>
          </w:rPr>
          <w:t>LIBOR Administrator Signals the Phase-Out of LIBOR to Begin in 2022</w:t>
        </w:r>
        <w:r w:rsidRPr="603A72A7" w:rsidR="060A05D2">
          <w:rPr>
            <w:rStyle w:val="Hyperlink"/>
            <w:i w:val="0"/>
            <w:iCs w:val="0"/>
            <w:color w:val="0000FF"/>
            <w:u w:val="none"/>
          </w:rPr>
          <w:t>”</w:t>
        </w:r>
      </w:hyperlink>
      <w:r w:rsidR="0019354E">
        <w:rPr/>
        <w:t>,</w:t>
      </w:r>
      <w:r w:rsidRPr="603A72A7" w:rsidR="0019354E">
        <w:rPr>
          <w:i w:val="1"/>
          <w:iCs w:val="1"/>
        </w:rPr>
        <w:t> Womble Bond Dickinson Client Alert</w:t>
      </w:r>
      <w:r w:rsidR="0019354E">
        <w:rPr/>
        <w:t>, November 2020</w:t>
      </w:r>
    </w:p>
    <w:p w:rsidR="0019354E" w:rsidP="603A72A7" w:rsidRDefault="0019354E" w14:paraId="48BEAD5C" w14:textId="69566A67">
      <w:pPr>
        <w:pStyle w:val="WBDBioBullet"/>
        <w:numPr>
          <w:ilvl w:val="0"/>
          <w:numId w:val="0"/>
        </w:numPr>
        <w:rPr/>
      </w:pPr>
      <w:r w:rsidRPr="603A72A7" w:rsidR="711AD3BD">
        <w:rPr>
          <w:rStyle w:val="Hyperlink"/>
          <w:i w:val="0"/>
          <w:iCs w:val="0"/>
          <w:color w:val="0000FF"/>
          <w:u w:val="none"/>
        </w:rPr>
        <w:t>“</w:t>
      </w:r>
      <w:hyperlink r:id="Rd4df77e407cc48c6">
        <w:r w:rsidRPr="603A72A7" w:rsidR="0019354E">
          <w:rPr>
            <w:rStyle w:val="Hyperlink"/>
            <w:i w:val="0"/>
            <w:iCs w:val="0"/>
            <w:color w:val="0000FF"/>
            <w:u w:val="none"/>
          </w:rPr>
          <w:t>Part III: The RESTART Act and the Long-term Recovery Sector Loan Program</w:t>
        </w:r>
        <w:r w:rsidRPr="603A72A7" w:rsidR="66FCC4FA">
          <w:rPr>
            <w:rStyle w:val="Hyperlink"/>
            <w:i w:val="0"/>
            <w:iCs w:val="0"/>
            <w:color w:val="0000FF"/>
            <w:u w:val="none"/>
          </w:rPr>
          <w:t>”</w:t>
        </w:r>
      </w:hyperlink>
      <w:r w:rsidRPr="603A72A7" w:rsidR="0019354E">
        <w:rPr>
          <w:i w:val="0"/>
          <w:iCs w:val="0"/>
        </w:rPr>
        <w:t>,</w:t>
      </w:r>
      <w:r w:rsidRPr="603A72A7" w:rsidR="0019354E">
        <w:rPr>
          <w:i w:val="1"/>
          <w:iCs w:val="1"/>
        </w:rPr>
        <w:t> National Law Review</w:t>
      </w:r>
      <w:r w:rsidR="0019354E">
        <w:rPr/>
        <w:t>, August 2020</w:t>
      </w:r>
    </w:p>
    <w:p w:rsidR="0019354E" w:rsidP="603A72A7" w:rsidRDefault="0019354E" w14:paraId="560D8088" w14:textId="0A95136E">
      <w:pPr>
        <w:pStyle w:val="WBDBioBullet"/>
        <w:numPr>
          <w:ilvl w:val="0"/>
          <w:numId w:val="0"/>
        </w:numPr>
        <w:rPr/>
      </w:pPr>
      <w:r w:rsidRPr="603A72A7" w:rsidR="00E4E218">
        <w:rPr>
          <w:i w:val="0"/>
          <w:iCs w:val="0"/>
          <w:color w:val="0000FF"/>
          <w:u w:val="none"/>
        </w:rPr>
        <w:t>“</w:t>
      </w:r>
      <w:hyperlink r:id="Re2fdba47d7154c05">
        <w:r w:rsidRPr="603A72A7" w:rsidR="0019354E">
          <w:rPr>
            <w:rStyle w:val="Hyperlink"/>
            <w:i w:val="0"/>
            <w:iCs w:val="0"/>
            <w:color w:val="0000FF"/>
            <w:u w:val="none"/>
          </w:rPr>
          <w:t>Main Street Lending Program Set to Launch - Additional Terms and Guidance Released</w:t>
        </w:r>
        <w:r w:rsidRPr="603A72A7" w:rsidR="11F22AD9">
          <w:rPr>
            <w:rStyle w:val="Hyperlink"/>
            <w:i w:val="0"/>
            <w:iCs w:val="0"/>
            <w:color w:val="0000FF"/>
            <w:u w:val="none"/>
          </w:rPr>
          <w:t>”</w:t>
        </w:r>
      </w:hyperlink>
      <w:r w:rsidR="0019354E">
        <w:rPr/>
        <w:t>, Womble Bond Dickinson Client Alert, June 2020</w:t>
      </w:r>
    </w:p>
    <w:p w:rsidR="0019354E" w:rsidP="603A72A7" w:rsidRDefault="0019354E" w14:paraId="5F08C0A3" w14:textId="3799639D">
      <w:pPr>
        <w:pStyle w:val="WBDBioBullet"/>
        <w:numPr>
          <w:ilvl w:val="0"/>
          <w:numId w:val="0"/>
        </w:numPr>
        <w:rPr/>
      </w:pPr>
      <w:r w:rsidRPr="603A72A7" w:rsidR="7D789F0F">
        <w:rPr>
          <w:i w:val="0"/>
          <w:iCs w:val="0"/>
          <w:color w:val="0000FF"/>
          <w:u w:val="none"/>
        </w:rPr>
        <w:t>“</w:t>
      </w:r>
      <w:hyperlink r:id="Re555775d68e4486a">
        <w:r w:rsidRPr="603A72A7" w:rsidR="0019354E">
          <w:rPr>
            <w:rStyle w:val="Hyperlink"/>
            <w:i w:val="0"/>
            <w:iCs w:val="0"/>
            <w:color w:val="0000FF"/>
            <w:u w:val="none"/>
          </w:rPr>
          <w:t>Update to Main Street Lending Program Federal Reserve Announces Revised Terms &amp; FAQs</w:t>
        </w:r>
        <w:r w:rsidRPr="603A72A7" w:rsidR="157F66C7">
          <w:rPr>
            <w:rStyle w:val="Hyperlink"/>
            <w:i w:val="0"/>
            <w:iCs w:val="0"/>
            <w:color w:val="0000FF"/>
            <w:u w:val="none"/>
          </w:rPr>
          <w:t>”</w:t>
        </w:r>
      </w:hyperlink>
      <w:r w:rsidR="0019354E">
        <w:rPr/>
        <w:t>, </w:t>
      </w:r>
      <w:r w:rsidRPr="603A72A7" w:rsidR="0019354E">
        <w:rPr>
          <w:i w:val="1"/>
          <w:iCs w:val="1"/>
        </w:rPr>
        <w:t>Womble Bond Dickinson Client Alert</w:t>
      </w:r>
      <w:r w:rsidR="0019354E">
        <w:rPr/>
        <w:t>, May 2020</w:t>
      </w:r>
    </w:p>
    <w:p w:rsidR="0019354E" w:rsidP="603A72A7" w:rsidRDefault="0019354E" w14:paraId="6DD3283F" w14:textId="64B5283C">
      <w:pPr>
        <w:pStyle w:val="WBDBioBullet"/>
        <w:numPr>
          <w:ilvl w:val="0"/>
          <w:numId w:val="0"/>
        </w:numPr>
        <w:rPr/>
      </w:pPr>
      <w:r w:rsidRPr="603A72A7" w:rsidR="00F84EAB">
        <w:rPr>
          <w:i w:val="1"/>
          <w:iCs w:val="1"/>
          <w:color w:val="0000FF"/>
          <w:u w:val="none"/>
        </w:rPr>
        <w:t>“</w:t>
      </w:r>
      <w:hyperlink r:id="R69c023cb1cb34407">
        <w:r w:rsidRPr="603A72A7" w:rsidR="0019354E">
          <w:rPr>
            <w:rStyle w:val="Hyperlink"/>
            <w:i w:val="0"/>
            <w:iCs w:val="0"/>
            <w:color w:val="0000FF"/>
            <w:u w:val="none"/>
          </w:rPr>
          <w:t>Main Street Lending Program: Issues, Questions and Proposed Changes</w:t>
        </w:r>
        <w:r w:rsidRPr="603A72A7" w:rsidR="4118247E">
          <w:rPr>
            <w:rStyle w:val="Hyperlink"/>
            <w:i w:val="0"/>
            <w:iCs w:val="0"/>
            <w:color w:val="0000FF"/>
            <w:u w:val="none"/>
          </w:rPr>
          <w:t>”</w:t>
        </w:r>
      </w:hyperlink>
      <w:r w:rsidR="0019354E">
        <w:rPr/>
        <w:t>, </w:t>
      </w:r>
      <w:r w:rsidRPr="603A72A7" w:rsidR="0019354E">
        <w:rPr>
          <w:i w:val="1"/>
          <w:iCs w:val="1"/>
        </w:rPr>
        <w:t>Womble Bond Dickinson Client Alert</w:t>
      </w:r>
      <w:r w:rsidR="0019354E">
        <w:rPr/>
        <w:t>, April 2020</w:t>
      </w:r>
    </w:p>
    <w:p w:rsidR="0019354E" w:rsidP="603A72A7" w:rsidRDefault="0019354E" w14:paraId="58BBDC77" w14:textId="04340E4A">
      <w:pPr>
        <w:pStyle w:val="WBDBioBullet"/>
        <w:numPr>
          <w:ilvl w:val="0"/>
          <w:numId w:val="0"/>
        </w:numPr>
        <w:rPr/>
      </w:pPr>
      <w:r w:rsidRPr="603A72A7" w:rsidR="457F981E">
        <w:rPr>
          <w:i w:val="1"/>
          <w:iCs w:val="1"/>
          <w:u w:val="none"/>
        </w:rPr>
        <w:t>“</w:t>
      </w:r>
      <w:hyperlink r:id="R601159f7191942e1">
        <w:r w:rsidRPr="603A72A7" w:rsidR="0019354E">
          <w:rPr>
            <w:rStyle w:val="Hyperlink"/>
            <w:i w:val="0"/>
            <w:iCs w:val="0"/>
            <w:color w:val="0000FF"/>
            <w:u w:val="none"/>
          </w:rPr>
          <w:t>In the Context of Corporate Lending, Should Parties Push the Pause Button?</w:t>
        </w:r>
        <w:r w:rsidRPr="603A72A7" w:rsidR="70B7A127">
          <w:rPr>
            <w:rStyle w:val="Hyperlink"/>
            <w:i w:val="0"/>
            <w:iCs w:val="0"/>
            <w:color w:val="0000FF"/>
            <w:u w:val="none"/>
          </w:rPr>
          <w:t>”</w:t>
        </w:r>
      </w:hyperlink>
      <w:r w:rsidR="0019354E">
        <w:rPr/>
        <w:t>, </w:t>
      </w:r>
      <w:r w:rsidRPr="603A72A7" w:rsidR="0019354E">
        <w:rPr>
          <w:i w:val="1"/>
          <w:iCs w:val="1"/>
        </w:rPr>
        <w:t>Womble Bond Dickinson Client Alert</w:t>
      </w:r>
      <w:r w:rsidR="0019354E">
        <w:rPr/>
        <w:t xml:space="preserve">, </w:t>
      </w:r>
      <w:r w:rsidR="0019354E">
        <w:rPr/>
        <w:t>March 2020</w:t>
      </w:r>
    </w:p>
    <w:p w:rsidR="0019354E" w:rsidP="603A72A7" w:rsidRDefault="0019354E" w14:paraId="3A05AA81" w14:textId="52009008">
      <w:pPr>
        <w:pStyle w:val="WBDBioBullet"/>
        <w:numPr>
          <w:ilvl w:val="0"/>
          <w:numId w:val="0"/>
        </w:numPr>
        <w:rPr/>
      </w:pPr>
      <w:r w:rsidRPr="603A72A7" w:rsidR="0A06E192">
        <w:rPr>
          <w:i w:val="0"/>
          <w:iCs w:val="0"/>
          <w:color w:val="0000FF"/>
          <w:u w:val="none"/>
        </w:rPr>
        <w:t>“</w:t>
      </w:r>
      <w:hyperlink r:id="R51c09d239a124406">
        <w:r w:rsidRPr="603A72A7" w:rsidR="0019354E">
          <w:rPr>
            <w:rStyle w:val="Hyperlink"/>
            <w:i w:val="0"/>
            <w:iCs w:val="0"/>
            <w:color w:val="0000FF"/>
            <w:u w:val="none"/>
          </w:rPr>
          <w:t>LIBOR to SOFR – Five Things Every Financial Services Provider Should Know</w:t>
        </w:r>
        <w:r w:rsidRPr="603A72A7" w:rsidR="20571DD1">
          <w:rPr>
            <w:rStyle w:val="Hyperlink"/>
            <w:i w:val="0"/>
            <w:iCs w:val="0"/>
            <w:color w:val="0000FF"/>
            <w:u w:val="none"/>
          </w:rPr>
          <w:t>”</w:t>
        </w:r>
      </w:hyperlink>
      <w:r w:rsidR="0019354E">
        <w:rPr/>
        <w:t xml:space="preserve">, </w:t>
      </w:r>
      <w:r w:rsidRPr="603A72A7" w:rsidR="0019354E">
        <w:rPr>
          <w:i w:val="1"/>
          <w:iCs w:val="1"/>
        </w:rPr>
        <w:t>Womble Bond Dickinson Client Alert</w:t>
      </w:r>
      <w:r w:rsidR="0019354E">
        <w:rPr/>
        <w:t>, March 2020</w:t>
      </w:r>
    </w:p>
    <w:p w:rsidR="0019354E" w:rsidP="0019354E" w:rsidRDefault="0019354E" w14:paraId="066AF893" w14:textId="77777777">
      <w:pPr>
        <w:pStyle w:val="WBDBioBullet"/>
      </w:pPr>
      <w:r w:rsidRPr="006F2174">
        <w:rPr>
          <w:lang w:val="en-GB"/>
        </w:rPr>
        <w:t>100 Days in a Minute: Brief insights on legislative and regulatory changes that will impact your business, episode 16 – Banking and Finance: Insights on President Trump’s Impact on the Financial Sector, May 15, 2017.</w:t>
      </w:r>
    </w:p>
    <w:p w:rsidRPr="008604DE" w:rsidR="0019354E" w:rsidP="0019354E" w:rsidRDefault="0019354E" w14:paraId="50CECD7C" w14:textId="77777777">
      <w:pPr>
        <w:pStyle w:val="WBDBioHeading"/>
      </w:pPr>
      <w:r w:rsidRPr="008604DE">
        <w:t>Honors &amp; Awards</w:t>
      </w:r>
      <w:r>
        <w:t xml:space="preserve"> </w:t>
      </w:r>
    </w:p>
    <w:p w:rsidR="0019354E" w:rsidP="0019354E" w:rsidRDefault="0019354E" w14:paraId="28ADDCB9" w14:textId="77777777">
      <w:pPr>
        <w:pStyle w:val="WBDBioBullet"/>
      </w:pPr>
      <w:r w:rsidRPr="00A33891">
        <w:t>Chambers USA Ranked Lawyer, Banking &amp; Finance, North Carolina, 2023</w:t>
      </w:r>
      <w:r>
        <w:t xml:space="preserve"> </w:t>
      </w:r>
      <w:r w:rsidRPr="00A33891">
        <w:t>-</w:t>
      </w:r>
      <w:r>
        <w:t xml:space="preserve"> </w:t>
      </w:r>
      <w:r w:rsidRPr="00A33891">
        <w:t>Present</w:t>
      </w:r>
    </w:p>
    <w:p w:rsidRPr="006F2174" w:rsidR="0019354E" w:rsidP="0019354E" w:rsidRDefault="0019354E" w14:paraId="30F97468" w14:textId="77777777">
      <w:pPr>
        <w:pStyle w:val="WBDBioBullet"/>
      </w:pPr>
      <w:r w:rsidRPr="006F2174">
        <w:t>Women in Business Achievement Award, </w:t>
      </w:r>
      <w:r w:rsidRPr="006F2174">
        <w:rPr>
          <w:i/>
          <w:iCs/>
        </w:rPr>
        <w:t>Charlotte Business Journal</w:t>
      </w:r>
      <w:r w:rsidRPr="006F2174">
        <w:t> (2020)</w:t>
      </w:r>
    </w:p>
    <w:p w:rsidRPr="006F2174" w:rsidR="0019354E" w:rsidP="0019354E" w:rsidRDefault="0019354E" w14:paraId="6CF39365" w14:textId="77777777">
      <w:pPr>
        <w:pStyle w:val="WBDBioBullet"/>
      </w:pPr>
      <w:r w:rsidRPr="006F2174">
        <w:t>50 Most Influential Women Award, </w:t>
      </w:r>
      <w:r w:rsidRPr="006F2174">
        <w:rPr>
          <w:i/>
          <w:iCs/>
        </w:rPr>
        <w:t>The Mecklenburg Times </w:t>
      </w:r>
      <w:r w:rsidRPr="006F2174">
        <w:t>(2014)</w:t>
      </w:r>
    </w:p>
    <w:p w:rsidR="0019354E" w:rsidP="0019354E" w:rsidRDefault="0019354E" w14:paraId="576A6CD2" w14:textId="77777777">
      <w:pPr>
        <w:pStyle w:val="WBDBioHeading"/>
      </w:pPr>
      <w:r>
        <w:t xml:space="preserve">Education </w:t>
      </w:r>
    </w:p>
    <w:p w:rsidR="0019354E" w:rsidP="0019354E" w:rsidRDefault="0019354E" w14:paraId="28DD9A1E" w14:textId="77777777">
      <w:pPr>
        <w:pStyle w:val="WBDEduBioBullet"/>
      </w:pPr>
      <w:r>
        <w:t>J.D., University of South Carolina School of Law, 2002</w:t>
      </w:r>
    </w:p>
    <w:p w:rsidRPr="006F2174" w:rsidR="0019354E" w:rsidP="0019354E" w:rsidRDefault="0019354E" w14:paraId="586E44F8" w14:textId="77777777">
      <w:pPr>
        <w:pStyle w:val="WBDEduBioSubBullet"/>
        <w:rPr>
          <w:i/>
        </w:rPr>
      </w:pPr>
      <w:r w:rsidRPr="006F2174">
        <w:rPr>
          <w:i/>
        </w:rPr>
        <w:t>cum laude</w:t>
      </w:r>
    </w:p>
    <w:p w:rsidR="0019354E" w:rsidP="0019354E" w:rsidRDefault="0019354E" w14:paraId="1958B04B" w14:textId="77777777">
      <w:pPr>
        <w:pStyle w:val="WBDEduBioBullet"/>
      </w:pPr>
      <w:r>
        <w:t>B.A., University of South Carolina, 1996</w:t>
      </w:r>
    </w:p>
    <w:p w:rsidR="0019354E" w:rsidP="0019354E" w:rsidRDefault="0019354E" w14:paraId="7A6FEAAF" w14:textId="77777777">
      <w:pPr>
        <w:pStyle w:val="WBDBioHeading"/>
      </w:pPr>
      <w:r>
        <w:t xml:space="preserve">Admitted to Practice </w:t>
      </w:r>
    </w:p>
    <w:p w:rsidR="0019354E" w:rsidP="0019354E" w:rsidRDefault="0019354E" w14:paraId="328B39AE" w14:textId="77777777">
      <w:pPr>
        <w:pStyle w:val="WBDEduBioBullet"/>
      </w:pPr>
      <w:r>
        <w:t>North Carolina</w:t>
      </w:r>
    </w:p>
    <w:p w:rsidR="0019354E" w:rsidP="0019354E" w:rsidRDefault="0019354E" w14:paraId="223096AA" w14:textId="77777777">
      <w:pPr>
        <w:pStyle w:val="WBDBioHeading"/>
      </w:pPr>
      <w:r>
        <w:t xml:space="preserve">Related Services &amp; Sectors </w:t>
      </w:r>
    </w:p>
    <w:p w:rsidR="0019354E" w:rsidP="0019354E" w:rsidRDefault="0019354E" w14:paraId="3D10B20D" w14:textId="77777777">
      <w:pPr>
        <w:pStyle w:val="WBDBioText"/>
      </w:pPr>
      <w:r>
        <w:t>Syndicated Lending; Finance: Banking, Restructuring, Insolvency; Equity Capital Markets; Banking and Finance; Financial Services; Rea; Estate</w:t>
      </w:r>
    </w:p>
    <w:p w:rsidR="0019354E" w:rsidP="0019354E" w:rsidRDefault="0019354E" w14:paraId="448B82B3" w14:textId="77777777">
      <w:pPr>
        <w:pStyle w:val="WBDMainBodyBullets"/>
        <w:tabs>
          <w:tab w:val="left" w:pos="7499"/>
        </w:tabs>
        <w:spacing w:after="160" w:line="240" w:lineRule="atLeast"/>
        <w:jc w:val="both"/>
      </w:pPr>
    </w:p>
    <w:p w:rsidRPr="009C4F2E" w:rsidR="0019354E" w:rsidP="0019354E" w:rsidRDefault="0019354E" w14:paraId="3721EF09" w14:textId="77777777">
      <w:pPr>
        <w:pStyle w:val="WBDBioText"/>
      </w:pPr>
    </w:p>
    <w:p w:rsidRPr="00D35791" w:rsidR="00AE2186" w:rsidP="00D35791" w:rsidRDefault="00AE2186" w14:paraId="2F708C7D" w14:textId="13C79241"/>
    <w:sectPr w:rsidRPr="00D35791" w:rsidR="00AE2186" w:rsidSect="00D405A6">
      <w:headerReference w:type="default" r:id="rId20"/>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2DCF" w:rsidP="009A2A16" w:rsidRDefault="00032DCF" w14:paraId="0F2BBCD5" w14:textId="77777777">
      <w:pPr>
        <w:spacing w:after="0" w:line="240" w:lineRule="auto"/>
      </w:pPr>
      <w:r>
        <w:separator/>
      </w:r>
    </w:p>
  </w:endnote>
  <w:endnote w:type="continuationSeparator" w:id="0">
    <w:p w:rsidR="00032DCF" w:rsidP="009A2A16" w:rsidRDefault="00032DCF" w14:paraId="1485FC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2DCF" w:rsidP="009A2A16" w:rsidRDefault="00032DCF" w14:paraId="0B91B6CE" w14:textId="77777777">
      <w:pPr>
        <w:spacing w:after="0" w:line="240" w:lineRule="auto"/>
      </w:pPr>
      <w:r>
        <w:separator/>
      </w:r>
    </w:p>
  </w:footnote>
  <w:footnote w:type="continuationSeparator" w:id="0">
    <w:p w:rsidR="00032DCF" w:rsidP="009A2A16" w:rsidRDefault="00032DCF" w14:paraId="645BD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B0E2D" w:rsidR="00F22695" w:rsidP="004B0E2D" w:rsidRDefault="00670731" w14:paraId="5FCC1787" w14:textId="77777777">
    <w:pPr>
      <w:pStyle w:val="Header"/>
    </w:pPr>
    <w:r>
      <w:rPr>
        <w:noProof/>
        <w:lang w:val="en-US"/>
      </w:rPr>
      <w:drawing>
        <wp:anchor distT="0" distB="0" distL="114300" distR="114300" simplePos="0" relativeHeight="251662336" behindDoc="1" locked="0" layoutInCell="1" allowOverlap="1" wp14:anchorId="63409A0B" wp14:editId="40627B20">
          <wp:simplePos x="0" y="0"/>
          <wp:positionH relativeFrom="page">
            <wp:align>right</wp:align>
          </wp:positionH>
          <wp:positionV relativeFrom="paragraph">
            <wp:posOffset>-457200</wp:posOffset>
          </wp:positionV>
          <wp:extent cx="7774305" cy="1078230"/>
          <wp:effectExtent l="0" t="0" r="0" b="7620"/>
          <wp:wrapTight wrapText="bothSides">
            <wp:wrapPolygon edited="0">
              <wp:start x="0" y="0"/>
              <wp:lineTo x="0" y="21371"/>
              <wp:lineTo x="21542" y="21371"/>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_Wor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305"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209F5"/>
    <w:multiLevelType w:val="multilevel"/>
    <w:tmpl w:val="80FE2546"/>
    <w:numStyleLink w:val="NumbLstMain"/>
  </w:abstractNum>
  <w:abstractNum w:abstractNumId="12"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5"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6"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8B659B7"/>
    <w:multiLevelType w:val="multilevel"/>
    <w:tmpl w:val="5656B1C6"/>
    <w:numStyleLink w:val="NumbLstTableBullet"/>
  </w:abstractNum>
  <w:abstractNum w:abstractNumId="18" w15:restartNumberingAfterBreak="0">
    <w:nsid w:val="3F114214"/>
    <w:multiLevelType w:val="multilevel"/>
    <w:tmpl w:val="5656B1C6"/>
    <w:numStyleLink w:val="NumbLstTableBullet"/>
  </w:abstractNum>
  <w:abstractNum w:abstractNumId="19"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55A0350A"/>
    <w:multiLevelType w:val="multilevel"/>
    <w:tmpl w:val="2D64C6E4"/>
    <w:numStyleLink w:val="BulletLeft"/>
  </w:abstractNum>
  <w:abstractNum w:abstractNumId="23" w15:restartNumberingAfterBreak="0">
    <w:nsid w:val="5A6E7964"/>
    <w:multiLevelType w:val="multilevel"/>
    <w:tmpl w:val="76421EEC"/>
    <w:numStyleLink w:val="NumbLstBullet"/>
  </w:abstractNum>
  <w:abstractNum w:abstractNumId="24"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5B5AA4"/>
    <w:multiLevelType w:val="hybridMultilevel"/>
    <w:tmpl w:val="34EA49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16F124E"/>
    <w:multiLevelType w:val="multilevel"/>
    <w:tmpl w:val="F112E4FA"/>
    <w:numStyleLink w:val="NumbLstNumbers"/>
  </w:abstractNum>
  <w:abstractNum w:abstractNumId="27"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54836902">
    <w:abstractNumId w:val="9"/>
  </w:num>
  <w:num w:numId="2" w16cid:durableId="713848774">
    <w:abstractNumId w:val="7"/>
  </w:num>
  <w:num w:numId="3" w16cid:durableId="950740981">
    <w:abstractNumId w:val="6"/>
  </w:num>
  <w:num w:numId="4" w16cid:durableId="1971470721">
    <w:abstractNumId w:val="5"/>
  </w:num>
  <w:num w:numId="5" w16cid:durableId="1507936381">
    <w:abstractNumId w:val="4"/>
  </w:num>
  <w:num w:numId="6" w16cid:durableId="1389262151">
    <w:abstractNumId w:val="8"/>
  </w:num>
  <w:num w:numId="7" w16cid:durableId="175193293">
    <w:abstractNumId w:val="3"/>
  </w:num>
  <w:num w:numId="8" w16cid:durableId="1296177757">
    <w:abstractNumId w:val="2"/>
  </w:num>
  <w:num w:numId="9" w16cid:durableId="1412854391">
    <w:abstractNumId w:val="1"/>
  </w:num>
  <w:num w:numId="10" w16cid:durableId="1887988351">
    <w:abstractNumId w:val="0"/>
  </w:num>
  <w:num w:numId="11" w16cid:durableId="458228591">
    <w:abstractNumId w:val="20"/>
  </w:num>
  <w:num w:numId="12" w16cid:durableId="1348095074">
    <w:abstractNumId w:val="13"/>
  </w:num>
  <w:num w:numId="13" w16cid:durableId="1523469500">
    <w:abstractNumId w:val="26"/>
  </w:num>
  <w:num w:numId="14" w16cid:durableId="237598756">
    <w:abstractNumId w:val="23"/>
  </w:num>
  <w:num w:numId="15" w16cid:durableId="664279589">
    <w:abstractNumId w:val="10"/>
  </w:num>
  <w:num w:numId="16" w16cid:durableId="668338333">
    <w:abstractNumId w:val="15"/>
  </w:num>
  <w:num w:numId="17" w16cid:durableId="800072408">
    <w:abstractNumId w:val="17"/>
  </w:num>
  <w:num w:numId="18" w16cid:durableId="865992949">
    <w:abstractNumId w:val="14"/>
  </w:num>
  <w:num w:numId="19" w16cid:durableId="22875722">
    <w:abstractNumId w:val="22"/>
  </w:num>
  <w:num w:numId="20" w16cid:durableId="1287813345">
    <w:abstractNumId w:val="24"/>
  </w:num>
  <w:num w:numId="21" w16cid:durableId="1781487806">
    <w:abstractNumId w:val="28"/>
  </w:num>
  <w:num w:numId="22" w16cid:durableId="1675956645">
    <w:abstractNumId w:val="21"/>
  </w:num>
  <w:num w:numId="23" w16cid:durableId="2052073947">
    <w:abstractNumId w:val="11"/>
  </w:num>
  <w:num w:numId="24" w16cid:durableId="826213644">
    <w:abstractNumId w:val="16"/>
  </w:num>
  <w:num w:numId="25" w16cid:durableId="1891264095">
    <w:abstractNumId w:val="27"/>
  </w:num>
  <w:num w:numId="26" w16cid:durableId="1460296643">
    <w:abstractNumId w:val="19"/>
  </w:num>
  <w:num w:numId="27" w16cid:durableId="1586911411">
    <w:abstractNumId w:val="16"/>
  </w:num>
  <w:num w:numId="28" w16cid:durableId="830439270">
    <w:abstractNumId w:val="19"/>
  </w:num>
  <w:num w:numId="29" w16cid:durableId="1342120301">
    <w:abstractNumId w:val="16"/>
  </w:num>
  <w:num w:numId="30" w16cid:durableId="355695420">
    <w:abstractNumId w:val="16"/>
  </w:num>
  <w:num w:numId="31" w16cid:durableId="3553545">
    <w:abstractNumId w:val="16"/>
  </w:num>
  <w:num w:numId="32" w16cid:durableId="473528790">
    <w:abstractNumId w:val="19"/>
  </w:num>
  <w:num w:numId="33" w16cid:durableId="526794292">
    <w:abstractNumId w:val="18"/>
  </w:num>
  <w:num w:numId="34" w16cid:durableId="301498175">
    <w:abstractNumId w:val="12"/>
  </w:num>
  <w:num w:numId="35" w16cid:durableId="199795798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2FE3"/>
    <w:rsid w:val="000079F2"/>
    <w:rsid w:val="00010FD7"/>
    <w:rsid w:val="0001309F"/>
    <w:rsid w:val="0001326E"/>
    <w:rsid w:val="000149B1"/>
    <w:rsid w:val="0001589F"/>
    <w:rsid w:val="000162CC"/>
    <w:rsid w:val="00016F3F"/>
    <w:rsid w:val="00017109"/>
    <w:rsid w:val="00020139"/>
    <w:rsid w:val="0002068B"/>
    <w:rsid w:val="00020939"/>
    <w:rsid w:val="00023C7C"/>
    <w:rsid w:val="00024AEB"/>
    <w:rsid w:val="00024DE1"/>
    <w:rsid w:val="00027F85"/>
    <w:rsid w:val="0003011C"/>
    <w:rsid w:val="00030458"/>
    <w:rsid w:val="000308F1"/>
    <w:rsid w:val="00031053"/>
    <w:rsid w:val="000319EF"/>
    <w:rsid w:val="00031D68"/>
    <w:rsid w:val="00032DCF"/>
    <w:rsid w:val="000331F0"/>
    <w:rsid w:val="00035878"/>
    <w:rsid w:val="000359DC"/>
    <w:rsid w:val="00042F67"/>
    <w:rsid w:val="00053F0F"/>
    <w:rsid w:val="00056072"/>
    <w:rsid w:val="0006038B"/>
    <w:rsid w:val="00060E11"/>
    <w:rsid w:val="00064DF8"/>
    <w:rsid w:val="000651EF"/>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0F57C5"/>
    <w:rsid w:val="001030E0"/>
    <w:rsid w:val="00103ECC"/>
    <w:rsid w:val="0010757D"/>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354E"/>
    <w:rsid w:val="001948D5"/>
    <w:rsid w:val="001A2F98"/>
    <w:rsid w:val="001A40D3"/>
    <w:rsid w:val="001A48D5"/>
    <w:rsid w:val="001A4C32"/>
    <w:rsid w:val="001A5890"/>
    <w:rsid w:val="001A7E18"/>
    <w:rsid w:val="001B246A"/>
    <w:rsid w:val="001B3ABB"/>
    <w:rsid w:val="001B7742"/>
    <w:rsid w:val="001C031A"/>
    <w:rsid w:val="001C0B09"/>
    <w:rsid w:val="001C1FBA"/>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4874"/>
    <w:rsid w:val="0025788D"/>
    <w:rsid w:val="00257B46"/>
    <w:rsid w:val="0026120D"/>
    <w:rsid w:val="00262E73"/>
    <w:rsid w:val="00263A74"/>
    <w:rsid w:val="0026442F"/>
    <w:rsid w:val="00267607"/>
    <w:rsid w:val="00270A60"/>
    <w:rsid w:val="00273D63"/>
    <w:rsid w:val="002753CD"/>
    <w:rsid w:val="00277FC0"/>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3F58"/>
    <w:rsid w:val="00385034"/>
    <w:rsid w:val="003850E3"/>
    <w:rsid w:val="00385CA5"/>
    <w:rsid w:val="0039336B"/>
    <w:rsid w:val="0039350E"/>
    <w:rsid w:val="003937C7"/>
    <w:rsid w:val="00395ECF"/>
    <w:rsid w:val="00396BCD"/>
    <w:rsid w:val="00397361"/>
    <w:rsid w:val="003A27E9"/>
    <w:rsid w:val="003A2E4A"/>
    <w:rsid w:val="003A4E01"/>
    <w:rsid w:val="003A7C89"/>
    <w:rsid w:val="003B24EA"/>
    <w:rsid w:val="003B48BE"/>
    <w:rsid w:val="003C1540"/>
    <w:rsid w:val="003C166F"/>
    <w:rsid w:val="003D1E7C"/>
    <w:rsid w:val="003D3B0D"/>
    <w:rsid w:val="003D5E91"/>
    <w:rsid w:val="003D7745"/>
    <w:rsid w:val="003E22A1"/>
    <w:rsid w:val="003E27FA"/>
    <w:rsid w:val="003E3714"/>
    <w:rsid w:val="003E448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2B5F"/>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0CC0"/>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7"/>
    <w:rsid w:val="005A58D9"/>
    <w:rsid w:val="005A6290"/>
    <w:rsid w:val="005A6434"/>
    <w:rsid w:val="005A64BA"/>
    <w:rsid w:val="005B0D79"/>
    <w:rsid w:val="005B24CF"/>
    <w:rsid w:val="005B30E8"/>
    <w:rsid w:val="005B5AF5"/>
    <w:rsid w:val="005B6900"/>
    <w:rsid w:val="005C23CF"/>
    <w:rsid w:val="005D0C96"/>
    <w:rsid w:val="005D5C47"/>
    <w:rsid w:val="005D72C9"/>
    <w:rsid w:val="005E2AD9"/>
    <w:rsid w:val="005E38B9"/>
    <w:rsid w:val="005E51A0"/>
    <w:rsid w:val="005F451A"/>
    <w:rsid w:val="00602CC8"/>
    <w:rsid w:val="00607044"/>
    <w:rsid w:val="00611A1C"/>
    <w:rsid w:val="00611F34"/>
    <w:rsid w:val="0061221F"/>
    <w:rsid w:val="00617112"/>
    <w:rsid w:val="00617244"/>
    <w:rsid w:val="0062404E"/>
    <w:rsid w:val="00626C44"/>
    <w:rsid w:val="00626DDF"/>
    <w:rsid w:val="00627B52"/>
    <w:rsid w:val="00630EA7"/>
    <w:rsid w:val="00631240"/>
    <w:rsid w:val="00631F0D"/>
    <w:rsid w:val="00632AB5"/>
    <w:rsid w:val="00632ED5"/>
    <w:rsid w:val="00635771"/>
    <w:rsid w:val="00637BB6"/>
    <w:rsid w:val="00637CAA"/>
    <w:rsid w:val="0064078F"/>
    <w:rsid w:val="00641E87"/>
    <w:rsid w:val="006434EF"/>
    <w:rsid w:val="00651551"/>
    <w:rsid w:val="00660EC8"/>
    <w:rsid w:val="0066181A"/>
    <w:rsid w:val="00661D9D"/>
    <w:rsid w:val="00663B9F"/>
    <w:rsid w:val="00666925"/>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03D75"/>
    <w:rsid w:val="00710886"/>
    <w:rsid w:val="00713A38"/>
    <w:rsid w:val="00713BC2"/>
    <w:rsid w:val="00714505"/>
    <w:rsid w:val="0072122F"/>
    <w:rsid w:val="007222E6"/>
    <w:rsid w:val="00724490"/>
    <w:rsid w:val="00727D88"/>
    <w:rsid w:val="0073072C"/>
    <w:rsid w:val="00730A4A"/>
    <w:rsid w:val="0073572F"/>
    <w:rsid w:val="00735E7B"/>
    <w:rsid w:val="00742C56"/>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462"/>
    <w:rsid w:val="00783991"/>
    <w:rsid w:val="00784A1E"/>
    <w:rsid w:val="00786B87"/>
    <w:rsid w:val="00786D5E"/>
    <w:rsid w:val="00787E41"/>
    <w:rsid w:val="0079142A"/>
    <w:rsid w:val="00793DEA"/>
    <w:rsid w:val="007A08C7"/>
    <w:rsid w:val="007A2D80"/>
    <w:rsid w:val="007A344F"/>
    <w:rsid w:val="007A3A60"/>
    <w:rsid w:val="007A3B25"/>
    <w:rsid w:val="007A3D46"/>
    <w:rsid w:val="007A59EE"/>
    <w:rsid w:val="007B1C9B"/>
    <w:rsid w:val="007B1CE5"/>
    <w:rsid w:val="007B27AD"/>
    <w:rsid w:val="007B7186"/>
    <w:rsid w:val="007C0A1B"/>
    <w:rsid w:val="007C307A"/>
    <w:rsid w:val="007C5E78"/>
    <w:rsid w:val="007C6B5A"/>
    <w:rsid w:val="007D40E0"/>
    <w:rsid w:val="007D584C"/>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16590"/>
    <w:rsid w:val="0082028C"/>
    <w:rsid w:val="0082069E"/>
    <w:rsid w:val="00822DEE"/>
    <w:rsid w:val="0082324A"/>
    <w:rsid w:val="0082384B"/>
    <w:rsid w:val="0082703E"/>
    <w:rsid w:val="0083373E"/>
    <w:rsid w:val="00835D58"/>
    <w:rsid w:val="00836616"/>
    <w:rsid w:val="0083679A"/>
    <w:rsid w:val="008377E2"/>
    <w:rsid w:val="0083780D"/>
    <w:rsid w:val="00842C5B"/>
    <w:rsid w:val="00846187"/>
    <w:rsid w:val="008472E0"/>
    <w:rsid w:val="008474BF"/>
    <w:rsid w:val="008474FF"/>
    <w:rsid w:val="00847C00"/>
    <w:rsid w:val="008527F6"/>
    <w:rsid w:val="008568C3"/>
    <w:rsid w:val="00864039"/>
    <w:rsid w:val="0086430F"/>
    <w:rsid w:val="00864C12"/>
    <w:rsid w:val="00865A6F"/>
    <w:rsid w:val="00866EA2"/>
    <w:rsid w:val="00870031"/>
    <w:rsid w:val="00871904"/>
    <w:rsid w:val="00871D6D"/>
    <w:rsid w:val="0087299B"/>
    <w:rsid w:val="008732F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393"/>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95FF2"/>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40D7"/>
    <w:rsid w:val="00A35ABF"/>
    <w:rsid w:val="00A36791"/>
    <w:rsid w:val="00A3744F"/>
    <w:rsid w:val="00A45BC6"/>
    <w:rsid w:val="00A50518"/>
    <w:rsid w:val="00A50582"/>
    <w:rsid w:val="00A518E2"/>
    <w:rsid w:val="00A5308A"/>
    <w:rsid w:val="00A55B40"/>
    <w:rsid w:val="00A60D66"/>
    <w:rsid w:val="00A6138B"/>
    <w:rsid w:val="00A62447"/>
    <w:rsid w:val="00A6639E"/>
    <w:rsid w:val="00A6691E"/>
    <w:rsid w:val="00A75D74"/>
    <w:rsid w:val="00A76661"/>
    <w:rsid w:val="00A83A9A"/>
    <w:rsid w:val="00A845E6"/>
    <w:rsid w:val="00A857FF"/>
    <w:rsid w:val="00A90642"/>
    <w:rsid w:val="00A90C71"/>
    <w:rsid w:val="00A91078"/>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046F9"/>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0983"/>
    <w:rsid w:val="00B734B8"/>
    <w:rsid w:val="00B74C0A"/>
    <w:rsid w:val="00B775D8"/>
    <w:rsid w:val="00B81F3D"/>
    <w:rsid w:val="00B85900"/>
    <w:rsid w:val="00B869D6"/>
    <w:rsid w:val="00B879C4"/>
    <w:rsid w:val="00B902C1"/>
    <w:rsid w:val="00B927EE"/>
    <w:rsid w:val="00BA6AFE"/>
    <w:rsid w:val="00BB0C81"/>
    <w:rsid w:val="00BB2119"/>
    <w:rsid w:val="00BB2ADC"/>
    <w:rsid w:val="00BB7BE3"/>
    <w:rsid w:val="00BC0810"/>
    <w:rsid w:val="00BC0946"/>
    <w:rsid w:val="00BC0FC1"/>
    <w:rsid w:val="00BC1AE1"/>
    <w:rsid w:val="00BC339F"/>
    <w:rsid w:val="00BC58BA"/>
    <w:rsid w:val="00BD06CF"/>
    <w:rsid w:val="00BD3D33"/>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58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2345"/>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3C3"/>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4F3E"/>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5791"/>
    <w:rsid w:val="00D368D4"/>
    <w:rsid w:val="00D36E4E"/>
    <w:rsid w:val="00D405A6"/>
    <w:rsid w:val="00D47E3C"/>
    <w:rsid w:val="00D52BA2"/>
    <w:rsid w:val="00D52F2C"/>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58A6"/>
    <w:rsid w:val="00DB696E"/>
    <w:rsid w:val="00DB7B79"/>
    <w:rsid w:val="00DC248C"/>
    <w:rsid w:val="00DC263C"/>
    <w:rsid w:val="00DC5542"/>
    <w:rsid w:val="00DD036F"/>
    <w:rsid w:val="00DD0811"/>
    <w:rsid w:val="00DD2DAB"/>
    <w:rsid w:val="00DD2E54"/>
    <w:rsid w:val="00DD55C1"/>
    <w:rsid w:val="00DD563F"/>
    <w:rsid w:val="00DD795D"/>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4E218"/>
    <w:rsid w:val="00E50B29"/>
    <w:rsid w:val="00E5451C"/>
    <w:rsid w:val="00E56D63"/>
    <w:rsid w:val="00E5704D"/>
    <w:rsid w:val="00E645B8"/>
    <w:rsid w:val="00E66A6C"/>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13C4"/>
    <w:rsid w:val="00F72511"/>
    <w:rsid w:val="00F72ACC"/>
    <w:rsid w:val="00F740A6"/>
    <w:rsid w:val="00F80030"/>
    <w:rsid w:val="00F82922"/>
    <w:rsid w:val="00F84EAB"/>
    <w:rsid w:val="00F854BB"/>
    <w:rsid w:val="00F85B12"/>
    <w:rsid w:val="00F85D7E"/>
    <w:rsid w:val="00F90A35"/>
    <w:rsid w:val="00F94CF5"/>
    <w:rsid w:val="00F96CA9"/>
    <w:rsid w:val="00FA2571"/>
    <w:rsid w:val="00FA31C8"/>
    <w:rsid w:val="00FB061F"/>
    <w:rsid w:val="00FB0D23"/>
    <w:rsid w:val="00FB2985"/>
    <w:rsid w:val="00FB2F21"/>
    <w:rsid w:val="00FB3000"/>
    <w:rsid w:val="00FB3954"/>
    <w:rsid w:val="00FB4E46"/>
    <w:rsid w:val="00FC0747"/>
    <w:rsid w:val="00FC3E77"/>
    <w:rsid w:val="00FC4329"/>
    <w:rsid w:val="00FC70D9"/>
    <w:rsid w:val="00FD0154"/>
    <w:rsid w:val="00FD0D32"/>
    <w:rsid w:val="00FD33D6"/>
    <w:rsid w:val="00FD4358"/>
    <w:rsid w:val="00FD476A"/>
    <w:rsid w:val="00FD5335"/>
    <w:rsid w:val="00FD5D55"/>
    <w:rsid w:val="00FD6E40"/>
    <w:rsid w:val="00FE5EF9"/>
    <w:rsid w:val="00FF1F23"/>
    <w:rsid w:val="060A05D2"/>
    <w:rsid w:val="061CB37B"/>
    <w:rsid w:val="0A06E192"/>
    <w:rsid w:val="0C8BF4FF"/>
    <w:rsid w:val="11F22AD9"/>
    <w:rsid w:val="157F66C7"/>
    <w:rsid w:val="1FC18E48"/>
    <w:rsid w:val="20571DD1"/>
    <w:rsid w:val="23EBF4E3"/>
    <w:rsid w:val="32B9A8AA"/>
    <w:rsid w:val="3D97C01C"/>
    <w:rsid w:val="4118247E"/>
    <w:rsid w:val="457F981E"/>
    <w:rsid w:val="4EA1A6D9"/>
    <w:rsid w:val="603A72A7"/>
    <w:rsid w:val="62662533"/>
    <w:rsid w:val="66FCC4FA"/>
    <w:rsid w:val="67D021BC"/>
    <w:rsid w:val="6E72D73A"/>
    <w:rsid w:val="705883F7"/>
    <w:rsid w:val="70B7A127"/>
    <w:rsid w:val="711AD3BD"/>
    <w:rsid w:val="7D789F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4"/>
      </w:numPr>
    </w:pPr>
  </w:style>
  <w:style w:type="paragraph" w:styleId="Bullet2" w:customStyle="1">
    <w:name w:val="Bullet2"/>
    <w:basedOn w:val="Normal"/>
    <w:qFormat/>
    <w:rsid w:val="004B0E2D"/>
    <w:pPr>
      <w:numPr>
        <w:ilvl w:val="1"/>
        <w:numId w:val="14"/>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3"/>
      </w:numPr>
    </w:pPr>
  </w:style>
  <w:style w:type="paragraph" w:styleId="NumbList2" w:customStyle="1">
    <w:name w:val="NumbList2"/>
    <w:basedOn w:val="Normal"/>
    <w:uiPriority w:val="6"/>
    <w:qFormat/>
    <w:rsid w:val="004B0E2D"/>
    <w:pPr>
      <w:numPr>
        <w:ilvl w:val="1"/>
        <w:numId w:val="13"/>
      </w:numPr>
    </w:pPr>
  </w:style>
  <w:style w:type="numbering" w:styleId="NumbLstNumbers" w:customStyle="1">
    <w:name w:val="NumbLstNumbers"/>
    <w:uiPriority w:val="99"/>
    <w:rsid w:val="004B0E2D"/>
    <w:pPr>
      <w:numPr>
        <w:numId w:val="12"/>
      </w:numPr>
    </w:pPr>
  </w:style>
  <w:style w:type="paragraph" w:styleId="Header">
    <w:name w:val="header"/>
    <w:basedOn w:val="Normal"/>
    <w:link w:val="HeaderChar"/>
    <w:rsid w:val="004B0E2D"/>
    <w:pPr>
      <w:tabs>
        <w:tab w:val="center" w:pos="4536"/>
        <w:tab w:val="right" w:pos="9072"/>
      </w:tabs>
      <w:spacing w:after="0" w:line="240" w:lineRule="auto"/>
    </w:pPr>
  </w:style>
  <w:style w:type="character" w:styleId="HeaderChar" w:customStyle="1">
    <w:name w:val="Header Char"/>
    <w:basedOn w:val="DefaultParagraphFont"/>
    <w:link w:val="Header"/>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23"/>
      </w:numPr>
    </w:pPr>
  </w:style>
  <w:style w:type="paragraph" w:styleId="Heading2Numb" w:customStyle="1">
    <w:name w:val="Heading 2Numb"/>
    <w:basedOn w:val="Heading2"/>
    <w:next w:val="Normal"/>
    <w:uiPriority w:val="2"/>
    <w:qFormat/>
    <w:rsid w:val="004B0E2D"/>
    <w:pPr>
      <w:numPr>
        <w:ilvl w:val="1"/>
        <w:numId w:val="23"/>
      </w:numPr>
    </w:pPr>
  </w:style>
  <w:style w:type="paragraph" w:styleId="Heading3Numb" w:customStyle="1">
    <w:name w:val="Heading 3Numb"/>
    <w:basedOn w:val="Heading3"/>
    <w:next w:val="Normal"/>
    <w:uiPriority w:val="2"/>
    <w:qFormat/>
    <w:rsid w:val="004B0E2D"/>
    <w:pPr>
      <w:numPr>
        <w:ilvl w:val="2"/>
        <w:numId w:val="23"/>
      </w:numPr>
    </w:pPr>
  </w:style>
  <w:style w:type="paragraph" w:styleId="Heading4Numb" w:customStyle="1">
    <w:name w:val="Heading 4Numb"/>
    <w:basedOn w:val="Heading4"/>
    <w:next w:val="Normal"/>
    <w:uiPriority w:val="2"/>
    <w:qFormat/>
    <w:rsid w:val="004B0E2D"/>
    <w:pPr>
      <w:numPr>
        <w:ilvl w:val="3"/>
        <w:numId w:val="23"/>
      </w:numPr>
    </w:pPr>
  </w:style>
  <w:style w:type="numbering" w:styleId="NumbLstMain" w:customStyle="1">
    <w:name w:val="NumbLstMain"/>
    <w:uiPriority w:val="99"/>
    <w:rsid w:val="004B0E2D"/>
    <w:pPr>
      <w:numPr>
        <w:numId w:val="15"/>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17"/>
      </w:numPr>
    </w:pPr>
  </w:style>
  <w:style w:type="numbering" w:styleId="NumbLstTableBullet" w:customStyle="1">
    <w:name w:val="NumbLstTableBullet"/>
    <w:uiPriority w:val="99"/>
    <w:rsid w:val="004B0E2D"/>
    <w:pPr>
      <w:numPr>
        <w:numId w:val="16"/>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18"/>
      </w:numPr>
    </w:pPr>
  </w:style>
  <w:style w:type="paragraph" w:styleId="Bullet1Left" w:customStyle="1">
    <w:name w:val="Bullet1 Left"/>
    <w:basedOn w:val="KeyMessage"/>
    <w:uiPriority w:val="11"/>
    <w:qFormat/>
    <w:rsid w:val="004B0E2D"/>
    <w:pPr>
      <w:framePr w:wrap="around"/>
      <w:numPr>
        <w:numId w:val="19"/>
      </w:numPr>
    </w:pPr>
  </w:style>
  <w:style w:type="numbering" w:styleId="111111">
    <w:name w:val="Outline List 2"/>
    <w:basedOn w:val="NoList"/>
    <w:uiPriority w:val="99"/>
    <w:semiHidden/>
    <w:unhideWhenUsed/>
    <w:rsid w:val="004B0E2D"/>
    <w:pPr>
      <w:numPr>
        <w:numId w:val="20"/>
      </w:numPr>
    </w:pPr>
  </w:style>
  <w:style w:type="numbering" w:styleId="1ai">
    <w:name w:val="Outline List 1"/>
    <w:basedOn w:val="NoList"/>
    <w:uiPriority w:val="99"/>
    <w:semiHidden/>
    <w:unhideWhenUsed/>
    <w:rsid w:val="004B0E2D"/>
    <w:pPr>
      <w:numPr>
        <w:numId w:val="2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2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2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25"/>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26"/>
      </w:numPr>
    </w:pPr>
  </w:style>
  <w:style w:type="paragraph" w:styleId="WBDDisclaimerText" w:customStyle="1">
    <w:name w:val="WBD Disclaimer Text"/>
    <w:basedOn w:val="WBDBioText"/>
    <w:uiPriority w:val="3"/>
    <w:qFormat/>
    <w:rsid w:val="00D405A6"/>
    <w:rPr>
      <w:i/>
      <w:sz w:val="18"/>
    </w:rPr>
  </w:style>
  <w:style w:type="paragraph" w:styleId="wbddisclaimertext0" w:customStyle="1">
    <w:name w:val="wbddisclaimertext"/>
    <w:basedOn w:val="Normal"/>
    <w:rsid w:val="00A36791"/>
    <w:pPr>
      <w:spacing w:before="100" w:beforeAutospacing="1" w:after="100" w:afterAutospacing="1" w:line="240" w:lineRule="auto"/>
    </w:pPr>
    <w:rPr>
      <w:rFonts w:ascii="Times New Roman" w:hAnsi="Times New Roman" w:eastAsia="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225915877">
      <w:bodyDiv w:val="1"/>
      <w:marLeft w:val="0"/>
      <w:marRight w:val="0"/>
      <w:marTop w:val="0"/>
      <w:marBottom w:val="0"/>
      <w:divBdr>
        <w:top w:val="none" w:sz="0" w:space="0" w:color="auto"/>
        <w:left w:val="none" w:sz="0" w:space="0" w:color="auto"/>
        <w:bottom w:val="none" w:sz="0" w:space="0" w:color="auto"/>
        <w:right w:val="none" w:sz="0" w:space="0" w:color="auto"/>
      </w:divBdr>
    </w:div>
    <w:div w:id="240919378">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45003296">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205219521">
      <w:bodyDiv w:val="1"/>
      <w:marLeft w:val="0"/>
      <w:marRight w:val="0"/>
      <w:marTop w:val="0"/>
      <w:marBottom w:val="0"/>
      <w:divBdr>
        <w:top w:val="none" w:sz="0" w:space="0" w:color="auto"/>
        <w:left w:val="none" w:sz="0" w:space="0" w:color="auto"/>
        <w:bottom w:val="none" w:sz="0" w:space="0" w:color="auto"/>
        <w:right w:val="none" w:sz="0" w:space="0" w:color="auto"/>
      </w:divBdr>
    </w:div>
    <w:div w:id="1525512592">
      <w:bodyDiv w:val="1"/>
      <w:marLeft w:val="0"/>
      <w:marRight w:val="0"/>
      <w:marTop w:val="0"/>
      <w:marBottom w:val="0"/>
      <w:divBdr>
        <w:top w:val="none" w:sz="0" w:space="0" w:color="auto"/>
        <w:left w:val="none" w:sz="0" w:space="0" w:color="auto"/>
        <w:bottom w:val="none" w:sz="0" w:space="0" w:color="auto"/>
        <w:right w:val="none" w:sz="0" w:space="0" w:color="auto"/>
      </w:divBdr>
    </w:div>
    <w:div w:id="1555579399">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37636196">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s://www.womblebonddickinson.com/sites/default/files/2021-09/Using_Special_Purpose_Credit_Programs_Counteract_Economic_Disparity.pdf" TargetMode="External" Id="R0a04453386fa459e" /><Relationship Type="http://schemas.openxmlformats.org/officeDocument/2006/relationships/hyperlink" Target="https://www.womblebonddickinson.com/us/insights/alerts/libor-administrator-signals-phase-out-libor-begin-2022" TargetMode="External" Id="R1d1b0b4c769c493f" /><Relationship Type="http://schemas.openxmlformats.org/officeDocument/2006/relationships/hyperlink" Target="https://www.natlawreview.com/article/part-iii-restart-act-and-long-term-recovery-sector-loan-program" TargetMode="External" Id="Rd4df77e407cc48c6" /><Relationship Type="http://schemas.openxmlformats.org/officeDocument/2006/relationships/hyperlink" Target="https://www.womblebonddickinson.com/us/insights/alerts/main-street-lending-program-set-launch-additional-terms-and-guidance-released" TargetMode="External" Id="Re2fdba47d7154c05" /><Relationship Type="http://schemas.openxmlformats.org/officeDocument/2006/relationships/hyperlink" Target="https://www.womblebonddickinson.com/us/insights/alerts/update-main-street-lending-program-federal-reserve-announces-revised-terms-faqs" TargetMode="External" Id="Re555775d68e4486a" /><Relationship Type="http://schemas.openxmlformats.org/officeDocument/2006/relationships/hyperlink" Target="https://www.womblebonddickinson.com/us/insights/alerts/main-street-lending-program-issues-questions-and-proposed-changes" TargetMode="External" Id="R69c023cb1cb34407" /><Relationship Type="http://schemas.openxmlformats.org/officeDocument/2006/relationships/hyperlink" Target="https://www.womblebonddickinson.com/us/insights/alerts/context-corporate-lending-should-parties-push-pause-button" TargetMode="External" Id="R601159f7191942e1" /><Relationship Type="http://schemas.openxmlformats.org/officeDocument/2006/relationships/hyperlink" Target="https://www.womblebonddickinson.com/us/insights/articles-and-briefings/libor-sofr-five-things-every-financial-services-provider-should" TargetMode="External" Id="R51c09d239a124406"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jad5834dd2384771b6fadba8804e791d>
    <p4de6da52f6e4b689edd7a5c3b77d2dc xmlns="5c3fb01a-b39e-4e51-b0ca-c6db1c8eaf1f">
      <Terms xmlns="http://schemas.microsoft.com/office/infopath/2007/PartnerControls"/>
    </p4de6da52f6e4b689edd7a5c3b77d2dc>
    <SME xmlns="5c3fb01a-b39e-4e51-b0ca-c6db1c8eaf1f">
      <UserInfo>
        <DisplayName/>
        <AccountId xsi:nil="true"/>
        <AccountType/>
      </UserInfo>
    </SME>
    <Approve xmlns="5c3fb01a-b39e-4e51-b0ca-c6db1c8eaf1f">false</Approve>
    <d42f2fe9504841a2a3f125f52294030b xmlns="5c3fb01a-b39e-4e51-b0ca-c6db1c8eaf1f">
      <Terms xmlns="http://schemas.microsoft.com/office/infopath/2007/PartnerControls"/>
    </d42f2fe9504841a2a3f125f52294030b>
    <SMEReviewed xmlns="5c3fb01a-b39e-4e51-b0ca-c6db1c8eaf1f">false</SMEReviewed>
    <SMEReviewStatus xmlns="5c3fb01a-b39e-4e51-b0ca-c6db1c8eaf1f">Waiting for Next Review Start Date</SMEReviewStatus>
    <TaxCatchAll xmlns="5c3fb01a-b39e-4e51-b0ca-c6db1c8eaf1f" xsi:nil="true"/>
    <SMEReviewedBy xmlns="5c3fb01a-b39e-4e51-b0ca-c6db1c8eaf1f" xsi:nil="true"/>
    <d8539c1894d843a1a6aa9dd63c33df2e xmlns="5c3fb01a-b39e-4e51-b0ca-c6db1c8eaf1f">
      <Terms xmlns="http://schemas.microsoft.com/office/infopath/2007/PartnerControls"/>
    </d8539c1894d843a1a6aa9dd63c33df2e>
    <ba570f317bd44ee1a6e9a3ee949bf26f xmlns="5c3fb01a-b39e-4e51-b0ca-c6db1c8eaf1f">
      <Terms xmlns="http://schemas.microsoft.com/office/infopath/2007/PartnerControls"/>
    </ba570f317bd44ee1a6e9a3ee949bf26f>
    <e66dc88bd8934144bac05d2057dfca28 xmlns="8b67a921-920d-457d-87e5-c875125e068a">
      <Terms xmlns="http://schemas.microsoft.com/office/infopath/2007/PartnerControls"/>
    </e66dc88bd8934144bac05d2057dfca28>
    <ReviewInterval xmlns="5c3fb01a-b39e-4e51-b0ca-c6db1c8eaf1f">12</ReviewInterval>
    <ReviewDate xmlns="5c3fb01a-b39e-4e51-b0ca-c6db1c8eaf1f" xsi:nil="tru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documentManagement>
</p:properties>
</file>

<file path=customXml/itemProps1.xml><?xml version="1.0" encoding="utf-8"?>
<ds:datastoreItem xmlns:ds="http://schemas.openxmlformats.org/officeDocument/2006/customXml" ds:itemID="{64E9FFAB-94FF-41E5-8576-ED80DA034D4F}">
  <ds:schemaRefs>
    <ds:schemaRef ds:uri="http://schemas.openxmlformats.org/officeDocument/2006/bibliography"/>
  </ds:schemaRefs>
</ds:datastoreItem>
</file>

<file path=customXml/itemProps2.xml><?xml version="1.0" encoding="utf-8"?>
<ds:datastoreItem xmlns:ds="http://schemas.openxmlformats.org/officeDocument/2006/customXml" ds:itemID="{92ACB169-424D-43EC-ADE4-39B82FF9C0C2}"/>
</file>

<file path=customXml/itemProps3.xml><?xml version="1.0" encoding="utf-8"?>
<ds:datastoreItem xmlns:ds="http://schemas.openxmlformats.org/officeDocument/2006/customXml" ds:itemID="{08A84D73-DD59-4114-B80C-E115053D5791}">
  <ds:schemaRefs>
    <ds:schemaRef ds:uri="http://schemas.microsoft.com/sharepoint/v3/contenttype/forms"/>
  </ds:schemaRefs>
</ds:datastoreItem>
</file>

<file path=customXml/itemProps4.xml><?xml version="1.0" encoding="utf-8"?>
<ds:datastoreItem xmlns:ds="http://schemas.openxmlformats.org/officeDocument/2006/customXml" ds:itemID="{A0479E13-A98D-4272-AB95-C4AB2F171E68}">
  <ds:schemaRefs>
    <ds:schemaRef ds:uri="http://purl.org/dc/elements/1.1/"/>
    <ds:schemaRef ds:uri="http://schemas.microsoft.com/office/2006/documentManagement/types"/>
    <ds:schemaRef ds:uri="8b67a921-920d-457d-87e5-c875125e068a"/>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5c3fb01a-b39e-4e51-b0ca-c6db1c8eaf1f"/>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Brown, Kiara</cp:lastModifiedBy>
  <cp:revision>2</cp:revision>
  <dcterms:created xsi:type="dcterms:W3CDTF">2024-01-10T14:25:00Z</dcterms:created>
  <dcterms:modified xsi:type="dcterms:W3CDTF">2024-03-20T21:59:14Z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0x010100C7C9C8D94B54FB4BADD71D948702D6BC</vt:lpwstr>
  </property>
  <property fmtid="{D5CDD505-2E9C-101B-9397-08002B2CF9AE}" pid="4" name="Practice Area">
    <vt:lpwstr/>
  </property>
  <property fmtid="{D5CDD505-2E9C-101B-9397-08002B2CF9AE}" pid="5" name="Mansfield Qualified">
    <vt:lpwstr/>
  </property>
  <property fmtid="{D5CDD505-2E9C-101B-9397-08002B2CF9AE}" pid="7" name="Advanced Qualifications">
    <vt:lpwstr/>
  </property>
  <property fmtid="{D5CDD505-2E9C-101B-9397-08002B2CF9AE}" pid="11" name="Languages">
    <vt:lpwstr/>
  </property>
  <property fmtid="{D5CDD505-2E9C-101B-9397-08002B2CF9AE}" pid="12" name="GlobalExperience">
    <vt:lpwstr/>
  </property>
  <property fmtid="{D5CDD505-2E9C-101B-9397-08002B2CF9AE}" pid="13" name="Sector">
    <vt:lpwstr/>
  </property>
  <property fmtid="{D5CDD505-2E9C-101B-9397-08002B2CF9AE}" pid="14" name="Locations">
    <vt:lpwstr/>
  </property>
  <property fmtid="{D5CDD505-2E9C-101B-9397-08002B2CF9AE}" pid="15" name="Admissions">
    <vt:lpwstr/>
  </property>
</Properties>
</file>